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CBD0F7A">
      <w:pPr>
        <w:keepNext w:val="0"/>
        <w:keepLines w:val="0"/>
        <w:pageBreakBefore w:val="0"/>
        <w:widowControl/>
        <w:kinsoku/>
        <w:wordWrap/>
        <w:overflowPunct/>
        <w:topLinePunct w:val="0"/>
        <w:autoSpaceDE/>
        <w:autoSpaceDN/>
        <w:bidi w:val="0"/>
        <w:adjustRightInd w:val="0"/>
        <w:snapToGrid w:val="0"/>
        <w:spacing w:before="0" w:beforeLines="0" w:after="0" w:line="600" w:lineRule="exact"/>
        <w:ind w:firstLine="723" w:firstLineChars="200"/>
        <w:jc w:val="center"/>
        <w:textAlignment w:val="auto"/>
        <w:outlineLvl w:val="0"/>
        <w:rPr>
          <w:rFonts w:hint="eastAsia" w:ascii="方正小标宋简体" w:hAnsi="方正小标宋简体" w:eastAsia="方正小标宋简体" w:cs="方正小标宋简体"/>
          <w:b/>
          <w:bCs/>
          <w:sz w:val="36"/>
          <w:szCs w:val="36"/>
          <w:highlight w:val="none"/>
          <w:lang w:val="en-US" w:eastAsia="zh-CN" w:bidi="ar-SA"/>
        </w:rPr>
      </w:pPr>
      <w:bookmarkStart w:id="0" w:name="_Toc31850"/>
      <w:bookmarkStart w:id="1" w:name="_Toc20968"/>
      <w:bookmarkStart w:id="2" w:name="_Toc29946"/>
      <w:bookmarkStart w:id="3" w:name="_Toc389558848"/>
    </w:p>
    <w:p w14:paraId="4497D5F6">
      <w:pPr>
        <w:keepNext w:val="0"/>
        <w:keepLines w:val="0"/>
        <w:pageBreakBefore w:val="0"/>
        <w:widowControl/>
        <w:kinsoku/>
        <w:wordWrap/>
        <w:overflowPunct/>
        <w:topLinePunct w:val="0"/>
        <w:autoSpaceDE/>
        <w:autoSpaceDN/>
        <w:bidi w:val="0"/>
        <w:adjustRightInd w:val="0"/>
        <w:snapToGrid w:val="0"/>
        <w:spacing w:before="0" w:beforeLines="0" w:after="0" w:line="600" w:lineRule="exact"/>
        <w:ind w:firstLine="723" w:firstLineChars="200"/>
        <w:jc w:val="center"/>
        <w:textAlignment w:val="auto"/>
        <w:outlineLvl w:val="0"/>
        <w:rPr>
          <w:rFonts w:hint="eastAsia" w:ascii="方正小标宋简体" w:hAnsi="方正小标宋简体" w:eastAsia="方正小标宋简体" w:cs="方正小标宋简体"/>
          <w:b/>
          <w:bCs/>
          <w:sz w:val="36"/>
          <w:szCs w:val="36"/>
          <w:highlight w:val="none"/>
          <w:lang w:val="en-US" w:eastAsia="zh-CN" w:bidi="ar-SA"/>
        </w:rPr>
      </w:pPr>
      <w:r>
        <w:rPr>
          <w:rFonts w:hint="eastAsia" w:ascii="方正小标宋简体" w:hAnsi="方正小标宋简体" w:eastAsia="方正小标宋简体" w:cs="方正小标宋简体"/>
          <w:b/>
          <w:bCs/>
          <w:sz w:val="36"/>
          <w:szCs w:val="36"/>
          <w:highlight w:val="none"/>
          <w:lang w:val="en-US" w:eastAsia="zh-CN" w:bidi="ar-SA"/>
        </w:rPr>
        <w:t>四川大邑经济开发区产业园区基础设施及配套建设项目</w:t>
      </w:r>
    </w:p>
    <w:p w14:paraId="05B6E4C5">
      <w:pPr>
        <w:adjustRightInd w:val="0"/>
        <w:snapToGrid w:val="0"/>
        <w:spacing w:after="120" w:line="360" w:lineRule="auto"/>
        <w:ind w:firstLine="643" w:firstLineChars="200"/>
        <w:jc w:val="both"/>
        <w:rPr>
          <w:rFonts w:hint="eastAsia" w:ascii="方正小标宋简体" w:hAnsi="方正小标宋简体" w:eastAsia="方正小标宋简体" w:cs="方正小标宋简体"/>
          <w:b/>
          <w:bCs/>
          <w:sz w:val="32"/>
          <w:szCs w:val="32"/>
          <w:highlight w:val="none"/>
          <w:lang w:val="en-US" w:eastAsia="zh-CN" w:bidi="ar-SA"/>
        </w:rPr>
      </w:pPr>
    </w:p>
    <w:p w14:paraId="19D78697">
      <w:pPr>
        <w:widowControl/>
        <w:adjustRightInd w:val="0"/>
        <w:snapToGrid w:val="0"/>
        <w:spacing w:line="360" w:lineRule="auto"/>
        <w:ind w:firstLine="560" w:firstLineChars="200"/>
        <w:rPr>
          <w:rFonts w:hint="eastAsia" w:ascii="方正小标宋简体" w:hAnsi="方正小标宋简体" w:eastAsia="方正小标宋简体" w:cs="方正小标宋简体"/>
          <w:kern w:val="0"/>
          <w:sz w:val="28"/>
          <w:szCs w:val="24"/>
          <w:highlight w:val="none"/>
          <w:lang w:val="en-US" w:eastAsia="zh-CN"/>
        </w:rPr>
      </w:pPr>
    </w:p>
    <w:p w14:paraId="059CA771">
      <w:pPr>
        <w:widowControl/>
        <w:adjustRightInd w:val="0"/>
        <w:snapToGrid w:val="0"/>
        <w:spacing w:line="360" w:lineRule="auto"/>
        <w:ind w:firstLine="560" w:firstLineChars="200"/>
        <w:rPr>
          <w:rFonts w:hint="eastAsia" w:ascii="方正小标宋简体" w:hAnsi="方正小标宋简体" w:eastAsia="方正小标宋简体" w:cs="方正小标宋简体"/>
          <w:kern w:val="0"/>
          <w:sz w:val="28"/>
          <w:szCs w:val="24"/>
          <w:highlight w:val="none"/>
          <w:lang w:val="en-US" w:eastAsia="zh-CN"/>
        </w:rPr>
      </w:pPr>
    </w:p>
    <w:p w14:paraId="060CF32E">
      <w:pPr>
        <w:keepNext w:val="0"/>
        <w:keepLines w:val="0"/>
        <w:pageBreakBefore w:val="0"/>
        <w:widowControl/>
        <w:kinsoku/>
        <w:wordWrap/>
        <w:overflowPunct/>
        <w:topLinePunct w:val="0"/>
        <w:autoSpaceDE/>
        <w:autoSpaceDN/>
        <w:bidi w:val="0"/>
        <w:adjustRightInd w:val="0"/>
        <w:snapToGrid w:val="0"/>
        <w:spacing w:line="360" w:lineRule="auto"/>
        <w:ind w:firstLine="0" w:firstLineChars="0"/>
        <w:jc w:val="center"/>
        <w:textAlignment w:val="auto"/>
        <w:rPr>
          <w:rFonts w:hint="eastAsia" w:ascii="方正小标宋简体" w:hAnsi="方正小标宋简体" w:eastAsia="方正小标宋简体" w:cs="方正小标宋简体"/>
          <w:kern w:val="0"/>
          <w:sz w:val="32"/>
          <w:szCs w:val="32"/>
          <w:highlight w:val="none"/>
          <w:lang w:val="en-US" w:eastAsia="zh-CN"/>
        </w:rPr>
      </w:pPr>
      <w:r>
        <w:rPr>
          <w:rFonts w:hint="eastAsia" w:ascii="方正小标宋简体" w:hAnsi="方正小标宋简体" w:eastAsia="方正小标宋简体" w:cs="方正小标宋简体"/>
          <w:kern w:val="0"/>
          <w:sz w:val="32"/>
          <w:szCs w:val="32"/>
          <w:highlight w:val="none"/>
          <w:lang w:val="en-US" w:eastAsia="zh-CN"/>
        </w:rPr>
        <w:t>（信息披露）</w:t>
      </w:r>
      <w:bookmarkStart w:id="87" w:name="_GoBack"/>
      <w:bookmarkEnd w:id="87"/>
    </w:p>
    <w:p w14:paraId="5DD747F4">
      <w:pPr>
        <w:widowControl/>
        <w:bidi w:val="0"/>
        <w:adjustRightInd w:val="0"/>
        <w:snapToGrid w:val="0"/>
        <w:spacing w:line="360" w:lineRule="auto"/>
        <w:ind w:firstLine="977" w:firstLineChars="349"/>
        <w:jc w:val="center"/>
        <w:rPr>
          <w:rFonts w:hint="eastAsia" w:ascii="Times New Roman" w:hAnsi="Times New Roman" w:eastAsia="仿宋" w:cs="Times New Roman"/>
          <w:kern w:val="0"/>
          <w:sz w:val="28"/>
          <w:szCs w:val="24"/>
          <w:highlight w:val="none"/>
          <w:lang w:val="en-US" w:eastAsia="zh-CN"/>
        </w:rPr>
      </w:pPr>
    </w:p>
    <w:p w14:paraId="63CB17BD">
      <w:pPr>
        <w:widowControl/>
        <w:bidi w:val="0"/>
        <w:adjustRightInd w:val="0"/>
        <w:snapToGrid w:val="0"/>
        <w:spacing w:line="360" w:lineRule="auto"/>
        <w:ind w:firstLine="977" w:firstLineChars="349"/>
        <w:jc w:val="left"/>
        <w:rPr>
          <w:rFonts w:hint="eastAsia" w:ascii="Times New Roman" w:hAnsi="Times New Roman" w:eastAsia="仿宋" w:cs="Times New Roman"/>
          <w:kern w:val="0"/>
          <w:sz w:val="28"/>
          <w:szCs w:val="24"/>
          <w:highlight w:val="none"/>
          <w:lang w:val="en-US" w:eastAsia="zh-CN"/>
        </w:rPr>
      </w:pPr>
    </w:p>
    <w:p w14:paraId="64B29A3C">
      <w:pPr>
        <w:widowControl/>
        <w:bidi w:val="0"/>
        <w:adjustRightInd w:val="0"/>
        <w:snapToGrid w:val="0"/>
        <w:spacing w:line="360" w:lineRule="auto"/>
        <w:ind w:left="0" w:leftChars="0" w:firstLine="0" w:firstLineChars="0"/>
        <w:jc w:val="left"/>
        <w:rPr>
          <w:rFonts w:hint="eastAsia" w:ascii="Times New Roman" w:hAnsi="Times New Roman" w:eastAsia="仿宋" w:cs="Times New Roman"/>
          <w:kern w:val="0"/>
          <w:sz w:val="28"/>
          <w:szCs w:val="24"/>
          <w:highlight w:val="none"/>
          <w:lang w:val="en-US" w:eastAsia="zh-CN"/>
        </w:rPr>
      </w:pPr>
    </w:p>
    <w:p w14:paraId="0E3AA0AE">
      <w:pPr>
        <w:widowControl/>
        <w:bidi w:val="0"/>
        <w:adjustRightInd w:val="0"/>
        <w:snapToGrid w:val="0"/>
        <w:spacing w:line="360" w:lineRule="auto"/>
        <w:ind w:left="0" w:leftChars="0" w:firstLine="0" w:firstLineChars="0"/>
        <w:jc w:val="left"/>
        <w:rPr>
          <w:rFonts w:hint="eastAsia" w:ascii="Times New Roman" w:hAnsi="Times New Roman" w:eastAsia="仿宋" w:cs="Times New Roman"/>
          <w:kern w:val="0"/>
          <w:sz w:val="28"/>
          <w:szCs w:val="24"/>
          <w:highlight w:val="none"/>
          <w:lang w:val="en-US" w:eastAsia="zh-CN"/>
        </w:rPr>
      </w:pPr>
    </w:p>
    <w:p w14:paraId="2BC7004B">
      <w:pPr>
        <w:widowControl/>
        <w:bidi w:val="0"/>
        <w:adjustRightInd w:val="0"/>
        <w:snapToGrid w:val="0"/>
        <w:spacing w:line="360" w:lineRule="auto"/>
        <w:ind w:left="0" w:leftChars="0" w:firstLine="0" w:firstLineChars="0"/>
        <w:jc w:val="left"/>
        <w:rPr>
          <w:rFonts w:hint="eastAsia" w:ascii="Times New Roman" w:hAnsi="Times New Roman" w:eastAsia="仿宋" w:cs="Times New Roman"/>
          <w:kern w:val="0"/>
          <w:sz w:val="28"/>
          <w:szCs w:val="24"/>
          <w:highlight w:val="none"/>
          <w:lang w:val="en-US" w:eastAsia="zh-CN"/>
        </w:rPr>
      </w:pPr>
    </w:p>
    <w:p w14:paraId="138AF4B9">
      <w:pPr>
        <w:widowControl/>
        <w:bidi w:val="0"/>
        <w:adjustRightInd w:val="0"/>
        <w:snapToGrid w:val="0"/>
        <w:spacing w:line="360" w:lineRule="auto"/>
        <w:ind w:firstLine="977" w:firstLineChars="349"/>
        <w:jc w:val="center"/>
        <w:rPr>
          <w:rFonts w:hint="eastAsia" w:ascii="Times New Roman" w:hAnsi="Times New Roman" w:eastAsia="仿宋" w:cs="Times New Roman"/>
          <w:kern w:val="0"/>
          <w:sz w:val="28"/>
          <w:szCs w:val="24"/>
          <w:highlight w:val="none"/>
          <w:lang w:val="en-US" w:eastAsia="zh-CN"/>
        </w:rPr>
      </w:pPr>
    </w:p>
    <w:p w14:paraId="5CACBC3C">
      <w:pPr>
        <w:keepNext w:val="0"/>
        <w:keepLines w:val="0"/>
        <w:pageBreakBefore w:val="0"/>
        <w:widowControl/>
        <w:kinsoku/>
        <w:wordWrap/>
        <w:overflowPunct/>
        <w:topLinePunct w:val="0"/>
        <w:autoSpaceDE/>
        <w:autoSpaceDN/>
        <w:bidi w:val="0"/>
        <w:adjustRightInd w:val="0"/>
        <w:snapToGrid w:val="0"/>
        <w:spacing w:line="360" w:lineRule="auto"/>
        <w:ind w:left="1701" w:right="0" w:rightChars="0"/>
        <w:jc w:val="left"/>
        <w:textAlignment w:val="auto"/>
        <w:rPr>
          <w:rFonts w:hint="eastAsia" w:ascii="方正小标宋简体" w:hAnsi="方正小标宋简体" w:eastAsia="方正小标宋简体" w:cs="方正小标宋简体"/>
          <w:b w:val="0"/>
          <w:bCs w:val="0"/>
          <w:kern w:val="0"/>
          <w:sz w:val="32"/>
          <w:szCs w:val="32"/>
          <w:highlight w:val="none"/>
          <w:lang w:val="en-US" w:eastAsia="zh-CN"/>
        </w:rPr>
      </w:pPr>
      <w:r>
        <w:rPr>
          <w:rFonts w:hint="eastAsia" w:ascii="方正小标宋简体" w:hAnsi="方正小标宋简体" w:eastAsia="方正小标宋简体" w:cs="方正小标宋简体"/>
          <w:b w:val="0"/>
          <w:bCs w:val="0"/>
          <w:kern w:val="0"/>
          <w:sz w:val="32"/>
          <w:szCs w:val="32"/>
          <w:highlight w:val="none"/>
          <w:lang w:val="en-US" w:eastAsia="zh-CN"/>
        </w:rPr>
        <w:t>业主单位:成都西岭兴邑科技发展有限公司</w:t>
      </w:r>
    </w:p>
    <w:p w14:paraId="6664D62B">
      <w:pPr>
        <w:keepNext w:val="0"/>
        <w:keepLines w:val="0"/>
        <w:pageBreakBefore w:val="0"/>
        <w:widowControl/>
        <w:kinsoku/>
        <w:wordWrap/>
        <w:overflowPunct/>
        <w:topLinePunct w:val="0"/>
        <w:autoSpaceDE/>
        <w:autoSpaceDN/>
        <w:bidi w:val="0"/>
        <w:adjustRightInd w:val="0"/>
        <w:snapToGrid w:val="0"/>
        <w:spacing w:line="360" w:lineRule="auto"/>
        <w:ind w:left="1701" w:right="0" w:rightChars="0" w:firstLine="1116" w:firstLineChars="349"/>
        <w:jc w:val="left"/>
        <w:textAlignment w:val="auto"/>
        <w:rPr>
          <w:rFonts w:hint="eastAsia" w:ascii="方正小标宋简体" w:hAnsi="方正小标宋简体" w:eastAsia="方正小标宋简体" w:cs="方正小标宋简体"/>
          <w:b w:val="0"/>
          <w:bCs w:val="0"/>
          <w:kern w:val="0"/>
          <w:sz w:val="32"/>
          <w:szCs w:val="32"/>
          <w:highlight w:val="none"/>
          <w:lang w:val="en-US" w:eastAsia="zh-CN"/>
        </w:rPr>
      </w:pPr>
    </w:p>
    <w:p w14:paraId="6B969E97">
      <w:pPr>
        <w:keepNext w:val="0"/>
        <w:keepLines w:val="0"/>
        <w:pageBreakBefore w:val="0"/>
        <w:widowControl/>
        <w:kinsoku/>
        <w:wordWrap/>
        <w:overflowPunct/>
        <w:topLinePunct w:val="0"/>
        <w:autoSpaceDE/>
        <w:autoSpaceDN/>
        <w:bidi w:val="0"/>
        <w:adjustRightInd w:val="0"/>
        <w:snapToGrid w:val="0"/>
        <w:spacing w:line="360" w:lineRule="auto"/>
        <w:ind w:left="1701" w:right="0" w:rightChars="0"/>
        <w:jc w:val="left"/>
        <w:textAlignment w:val="auto"/>
        <w:rPr>
          <w:rFonts w:hint="eastAsia" w:ascii="方正小标宋简体" w:hAnsi="方正小标宋简体" w:eastAsia="方正小标宋简体" w:cs="方正小标宋简体"/>
          <w:b w:val="0"/>
          <w:bCs w:val="0"/>
          <w:kern w:val="0"/>
          <w:sz w:val="32"/>
          <w:szCs w:val="32"/>
          <w:highlight w:val="none"/>
          <w:lang w:val="en-US" w:eastAsia="zh-CN"/>
        </w:rPr>
      </w:pPr>
      <w:r>
        <w:rPr>
          <w:rFonts w:hint="eastAsia" w:ascii="方正小标宋简体" w:hAnsi="方正小标宋简体" w:eastAsia="方正小标宋简体" w:cs="方正小标宋简体"/>
          <w:b w:val="0"/>
          <w:bCs w:val="0"/>
          <w:kern w:val="0"/>
          <w:sz w:val="32"/>
          <w:szCs w:val="32"/>
          <w:highlight w:val="none"/>
          <w:lang w:val="en-US" w:eastAsia="zh-CN"/>
        </w:rPr>
        <w:t>主管部门:大邑县发展和改革局</w:t>
      </w:r>
    </w:p>
    <w:p w14:paraId="6F4D32B2">
      <w:pPr>
        <w:keepNext w:val="0"/>
        <w:keepLines w:val="0"/>
        <w:pageBreakBefore w:val="0"/>
        <w:widowControl/>
        <w:kinsoku/>
        <w:wordWrap/>
        <w:overflowPunct/>
        <w:topLinePunct w:val="0"/>
        <w:autoSpaceDE/>
        <w:autoSpaceDN/>
        <w:bidi w:val="0"/>
        <w:adjustRightInd w:val="0"/>
        <w:snapToGrid w:val="0"/>
        <w:spacing w:line="360" w:lineRule="auto"/>
        <w:ind w:left="1701" w:right="0" w:rightChars="0" w:firstLine="1116" w:firstLineChars="349"/>
        <w:jc w:val="left"/>
        <w:textAlignment w:val="auto"/>
        <w:rPr>
          <w:rFonts w:hint="eastAsia" w:ascii="方正小标宋简体" w:hAnsi="方正小标宋简体" w:eastAsia="方正小标宋简体" w:cs="方正小标宋简体"/>
          <w:b w:val="0"/>
          <w:bCs w:val="0"/>
          <w:kern w:val="0"/>
          <w:sz w:val="32"/>
          <w:szCs w:val="32"/>
          <w:highlight w:val="none"/>
          <w:lang w:val="en-US" w:eastAsia="zh-CN"/>
        </w:rPr>
      </w:pPr>
    </w:p>
    <w:p w14:paraId="2F52500B">
      <w:pPr>
        <w:keepNext w:val="0"/>
        <w:keepLines w:val="0"/>
        <w:pageBreakBefore w:val="0"/>
        <w:widowControl/>
        <w:kinsoku/>
        <w:wordWrap/>
        <w:overflowPunct/>
        <w:topLinePunct w:val="0"/>
        <w:autoSpaceDE/>
        <w:autoSpaceDN/>
        <w:bidi w:val="0"/>
        <w:adjustRightInd w:val="0"/>
        <w:snapToGrid w:val="0"/>
        <w:spacing w:line="360" w:lineRule="auto"/>
        <w:ind w:left="1701" w:right="0" w:rightChars="0"/>
        <w:jc w:val="left"/>
        <w:textAlignment w:val="auto"/>
        <w:rPr>
          <w:rFonts w:hint="eastAsia" w:ascii="方正小标宋简体" w:hAnsi="方正小标宋简体" w:eastAsia="方正小标宋简体" w:cs="方正小标宋简体"/>
          <w:b w:val="0"/>
          <w:bCs w:val="0"/>
          <w:kern w:val="0"/>
          <w:sz w:val="32"/>
          <w:szCs w:val="32"/>
          <w:highlight w:val="none"/>
          <w:lang w:val="en-US" w:eastAsia="zh-CN"/>
        </w:rPr>
      </w:pPr>
      <w:r>
        <w:rPr>
          <w:rFonts w:hint="eastAsia" w:ascii="方正小标宋简体" w:hAnsi="方正小标宋简体" w:eastAsia="方正小标宋简体" w:cs="方正小标宋简体"/>
          <w:b w:val="0"/>
          <w:bCs w:val="0"/>
          <w:kern w:val="0"/>
          <w:sz w:val="32"/>
          <w:szCs w:val="32"/>
          <w:highlight w:val="none"/>
          <w:lang w:val="en-US" w:eastAsia="zh-CN"/>
        </w:rPr>
        <w:t>发改部门:大邑县发展和改革局</w:t>
      </w:r>
    </w:p>
    <w:p w14:paraId="02CFDDD1">
      <w:pPr>
        <w:keepNext w:val="0"/>
        <w:keepLines w:val="0"/>
        <w:pageBreakBefore w:val="0"/>
        <w:widowControl/>
        <w:kinsoku/>
        <w:wordWrap/>
        <w:overflowPunct/>
        <w:topLinePunct w:val="0"/>
        <w:autoSpaceDE/>
        <w:autoSpaceDN/>
        <w:bidi w:val="0"/>
        <w:adjustRightInd w:val="0"/>
        <w:snapToGrid w:val="0"/>
        <w:spacing w:line="360" w:lineRule="auto"/>
        <w:ind w:left="1701" w:right="0" w:rightChars="0" w:firstLine="1116" w:firstLineChars="349"/>
        <w:jc w:val="left"/>
        <w:textAlignment w:val="auto"/>
        <w:rPr>
          <w:rFonts w:hint="eastAsia" w:ascii="方正小标宋简体" w:hAnsi="方正小标宋简体" w:eastAsia="方正小标宋简体" w:cs="方正小标宋简体"/>
          <w:b w:val="0"/>
          <w:bCs w:val="0"/>
          <w:kern w:val="0"/>
          <w:sz w:val="32"/>
          <w:szCs w:val="32"/>
          <w:highlight w:val="none"/>
          <w:lang w:val="en-US" w:eastAsia="zh-CN"/>
        </w:rPr>
      </w:pPr>
    </w:p>
    <w:p w14:paraId="362571B6">
      <w:pPr>
        <w:keepNext w:val="0"/>
        <w:keepLines w:val="0"/>
        <w:pageBreakBefore w:val="0"/>
        <w:kinsoku/>
        <w:wordWrap/>
        <w:overflowPunct/>
        <w:topLinePunct w:val="0"/>
        <w:autoSpaceDE/>
        <w:autoSpaceDN/>
        <w:bidi w:val="0"/>
        <w:ind w:left="1701" w:right="0" w:rightChars="0"/>
        <w:jc w:val="left"/>
        <w:textAlignment w:val="auto"/>
        <w:rPr>
          <w:rFonts w:hint="eastAsia" w:ascii="方正小标宋简体" w:hAnsi="方正小标宋简体" w:eastAsia="方正小标宋简体" w:cs="方正小标宋简体"/>
          <w:b w:val="0"/>
          <w:bCs w:val="0"/>
          <w:sz w:val="32"/>
          <w:szCs w:val="32"/>
          <w:highlight w:val="none"/>
          <w:lang w:val="en-US" w:eastAsia="zh-CN"/>
        </w:rPr>
        <w:sectPr>
          <w:headerReference r:id="rId3" w:type="default"/>
          <w:footerReference r:id="rId4" w:type="default"/>
          <w:pgSz w:w="11906" w:h="16838"/>
          <w:pgMar w:top="1440" w:right="1803" w:bottom="1440" w:left="1803" w:header="851" w:footer="992" w:gutter="0"/>
          <w:pgBorders>
            <w:top w:val="none" w:sz="0" w:space="0"/>
            <w:left w:val="none" w:sz="0" w:space="0"/>
            <w:bottom w:val="none" w:sz="0" w:space="0"/>
            <w:right w:val="none" w:sz="0" w:space="0"/>
          </w:pgBorders>
          <w:pgNumType w:fmt="decimal"/>
          <w:cols w:space="720" w:num="1"/>
          <w:rtlGutter w:val="0"/>
          <w:docGrid w:type="lines" w:linePitch="332" w:charSpace="0"/>
        </w:sectPr>
      </w:pPr>
      <w:r>
        <w:rPr>
          <w:rFonts w:hint="eastAsia" w:ascii="方正小标宋简体" w:hAnsi="方正小标宋简体" w:eastAsia="方正小标宋简体" w:cs="方正小标宋简体"/>
          <w:b w:val="0"/>
          <w:bCs w:val="0"/>
          <w:kern w:val="0"/>
          <w:sz w:val="32"/>
          <w:szCs w:val="32"/>
          <w:highlight w:val="none"/>
          <w:lang w:val="en-US" w:eastAsia="zh-CN"/>
        </w:rPr>
        <w:t>财政部门:四川省大邑县财政局</w:t>
      </w:r>
    </w:p>
    <w:bookmarkEnd w:id="0"/>
    <w:bookmarkEnd w:id="1"/>
    <w:bookmarkEnd w:id="2"/>
    <w:bookmarkEnd w:id="3"/>
    <w:p w14:paraId="63CCF39E">
      <w:pPr>
        <w:jc w:val="center"/>
        <w:outlineLvl w:val="0"/>
        <w:rPr>
          <w:rFonts w:hint="default" w:ascii="Times New Roman" w:hAnsi="Times New Roman" w:eastAsia="黑体" w:cs="Times New Roman"/>
          <w:color w:val="auto"/>
          <w:sz w:val="32"/>
          <w:szCs w:val="32"/>
          <w:lang w:val="en-US" w:eastAsia="zh-CN"/>
        </w:rPr>
      </w:pPr>
      <w:r>
        <w:rPr>
          <w:rFonts w:hint="eastAsia" w:ascii="Times New Roman" w:hAnsi="Times New Roman" w:eastAsia="黑体" w:cs="Times New Roman"/>
          <w:color w:val="auto"/>
          <w:sz w:val="32"/>
          <w:szCs w:val="32"/>
          <w:lang w:val="en-US" w:eastAsia="zh-CN"/>
        </w:rPr>
        <w:t>四川大邑经济开发区产业园区基础设施及配套建设项目</w:t>
      </w:r>
    </w:p>
    <w:p w14:paraId="65B09BDB">
      <w:pPr>
        <w:jc w:val="center"/>
        <w:outlineLvl w:val="0"/>
        <w:rPr>
          <w:rFonts w:hint="default" w:ascii="Times New Roman" w:hAnsi="Times New Roman" w:eastAsia="黑体" w:cs="Times New Roman"/>
          <w:color w:val="auto"/>
          <w:sz w:val="36"/>
          <w:szCs w:val="36"/>
          <w:lang w:val="en-US" w:eastAsia="zh-CN"/>
        </w:rPr>
      </w:pPr>
      <w:r>
        <w:rPr>
          <w:rFonts w:hint="default" w:ascii="Times New Roman" w:hAnsi="Times New Roman" w:eastAsia="黑体" w:cs="Times New Roman"/>
          <w:color w:val="auto"/>
          <w:sz w:val="36"/>
          <w:szCs w:val="36"/>
          <w:lang w:val="en-US" w:eastAsia="zh-CN"/>
        </w:rPr>
        <w:t>情况说明</w:t>
      </w:r>
    </w:p>
    <w:p w14:paraId="42C97182">
      <w:pPr>
        <w:numPr>
          <w:ilvl w:val="0"/>
          <w:numId w:val="0"/>
        </w:numPr>
        <w:spacing w:beforeLines="50" w:afterLines="50" w:line="360" w:lineRule="auto"/>
        <w:jc w:val="both"/>
        <w:outlineLvl w:val="0"/>
        <w:rPr>
          <w:rFonts w:hint="default" w:ascii="Times New Roman" w:hAnsi="Times New Roman" w:eastAsia="仿宋" w:cs="Times New Roman"/>
          <w:b/>
          <w:bCs/>
          <w:color w:val="auto"/>
          <w:sz w:val="32"/>
          <w:szCs w:val="32"/>
        </w:rPr>
      </w:pPr>
      <w:bookmarkStart w:id="4" w:name="_Toc29970"/>
      <w:r>
        <w:rPr>
          <w:rFonts w:hint="default" w:ascii="Times New Roman" w:hAnsi="Times New Roman" w:eastAsia="仿宋" w:cs="Times New Roman"/>
          <w:b/>
          <w:bCs/>
          <w:color w:val="auto"/>
          <w:sz w:val="32"/>
          <w:szCs w:val="32"/>
          <w:lang w:val="en-US" w:eastAsia="zh-CN"/>
        </w:rPr>
        <w:t>一、</w:t>
      </w:r>
      <w:r>
        <w:rPr>
          <w:rFonts w:hint="default" w:ascii="Times New Roman" w:hAnsi="Times New Roman" w:eastAsia="仿宋" w:cs="Times New Roman"/>
          <w:b/>
          <w:bCs/>
          <w:color w:val="auto"/>
          <w:sz w:val="32"/>
          <w:szCs w:val="32"/>
        </w:rPr>
        <w:t>项目基本情况</w:t>
      </w:r>
      <w:bookmarkEnd w:id="4"/>
    </w:p>
    <w:p w14:paraId="4278C619">
      <w:pPr>
        <w:pageBreakBefore w:val="0"/>
        <w:widowControl w:val="0"/>
        <w:kinsoku/>
        <w:wordWrap/>
        <w:overflowPunct/>
        <w:topLinePunct w:val="0"/>
        <w:autoSpaceDE/>
        <w:autoSpaceDN/>
        <w:bidi w:val="0"/>
        <w:adjustRightInd/>
        <w:snapToGrid/>
        <w:spacing w:beforeLines="50" w:afterLines="50" w:line="360" w:lineRule="auto"/>
        <w:jc w:val="both"/>
        <w:textAlignment w:val="auto"/>
        <w:outlineLvl w:val="1"/>
        <w:rPr>
          <w:rFonts w:hint="default" w:ascii="Times New Roman" w:hAnsi="Times New Roman" w:eastAsia="仿宋" w:cs="Times New Roman"/>
          <w:b/>
          <w:bCs/>
          <w:color w:val="auto"/>
          <w:sz w:val="32"/>
          <w:szCs w:val="32"/>
          <w:lang w:val="en-US"/>
        </w:rPr>
      </w:pPr>
      <w:bookmarkStart w:id="5" w:name="_Toc498385045"/>
      <w:bookmarkStart w:id="6" w:name="_Toc498385714"/>
      <w:bookmarkStart w:id="7" w:name="_Toc29323"/>
      <w:bookmarkStart w:id="8" w:name="_Toc29907"/>
      <w:r>
        <w:rPr>
          <w:rFonts w:hint="default" w:ascii="Times New Roman" w:hAnsi="Times New Roman" w:eastAsia="仿宋" w:cs="Times New Roman"/>
          <w:b/>
          <w:bCs/>
          <w:color w:val="auto"/>
          <w:sz w:val="32"/>
          <w:szCs w:val="32"/>
          <w:lang w:val="en-US"/>
        </w:rPr>
        <w:t>（一）</w:t>
      </w:r>
      <w:bookmarkEnd w:id="5"/>
      <w:bookmarkEnd w:id="6"/>
      <w:r>
        <w:rPr>
          <w:rFonts w:hint="default" w:ascii="Times New Roman" w:hAnsi="Times New Roman" w:eastAsia="仿宋" w:cs="Times New Roman"/>
          <w:b/>
          <w:bCs/>
          <w:color w:val="auto"/>
          <w:sz w:val="32"/>
          <w:szCs w:val="32"/>
          <w:lang w:val="en-US"/>
        </w:rPr>
        <w:t>市县及行业专项规划概况</w:t>
      </w:r>
      <w:bookmarkEnd w:id="7"/>
      <w:bookmarkEnd w:id="8"/>
    </w:p>
    <w:p w14:paraId="681E22D2">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default" w:ascii="Times New Roman" w:hAnsi="Times New Roman" w:eastAsia="仿宋" w:cs="Times New Roman"/>
          <w:b w:val="0"/>
          <w:bCs w:val="0"/>
          <w:caps/>
          <w:color w:val="auto"/>
          <w:kern w:val="2"/>
          <w:sz w:val="28"/>
          <w:szCs w:val="28"/>
          <w:lang w:val="en-US" w:eastAsia="zh-CN" w:bidi="ar-SA"/>
        </w:rPr>
      </w:pPr>
      <w:bookmarkStart w:id="9" w:name="_Toc30057"/>
      <w:bookmarkStart w:id="10" w:name="_Toc8651"/>
      <w:bookmarkStart w:id="11" w:name="_Toc19274"/>
      <w:bookmarkStart w:id="12" w:name="_Toc3378"/>
      <w:bookmarkStart w:id="13" w:name="_Toc30768"/>
      <w:bookmarkStart w:id="14" w:name="_Toc9841"/>
      <w:bookmarkStart w:id="15" w:name="_Toc21332"/>
      <w:bookmarkStart w:id="16" w:name="_Toc18204"/>
      <w:bookmarkStart w:id="17" w:name="_Toc29490"/>
      <w:r>
        <w:rPr>
          <w:rFonts w:hint="default" w:ascii="Times New Roman" w:hAnsi="Times New Roman" w:eastAsia="仿宋" w:cs="Times New Roman"/>
          <w:b w:val="0"/>
          <w:bCs w:val="0"/>
          <w:caps/>
          <w:color w:val="auto"/>
          <w:kern w:val="2"/>
          <w:sz w:val="28"/>
          <w:szCs w:val="28"/>
          <w:lang w:val="en-US" w:eastAsia="zh-CN" w:bidi="ar-SA"/>
        </w:rPr>
        <w:t>1.</w:t>
      </w:r>
      <w:r>
        <w:rPr>
          <w:rFonts w:hint="eastAsia" w:ascii="Times New Roman" w:hAnsi="Times New Roman" w:eastAsia="仿宋" w:cs="Times New Roman"/>
          <w:b w:val="0"/>
          <w:bCs w:val="0"/>
          <w:caps/>
          <w:color w:val="auto"/>
          <w:kern w:val="2"/>
          <w:sz w:val="28"/>
          <w:szCs w:val="28"/>
          <w:lang w:val="en-US" w:eastAsia="zh-CN" w:bidi="ar-SA"/>
        </w:rPr>
        <w:t>区域</w:t>
      </w:r>
      <w:r>
        <w:rPr>
          <w:rFonts w:hint="default" w:ascii="Times New Roman" w:hAnsi="Times New Roman" w:eastAsia="仿宋" w:cs="Times New Roman"/>
          <w:b w:val="0"/>
          <w:bCs w:val="0"/>
          <w:caps/>
          <w:color w:val="auto"/>
          <w:kern w:val="2"/>
          <w:sz w:val="28"/>
          <w:szCs w:val="28"/>
          <w:lang w:val="en-US" w:eastAsia="zh-CN" w:bidi="ar-SA"/>
        </w:rPr>
        <w:t>基本情况</w:t>
      </w:r>
    </w:p>
    <w:p w14:paraId="707C0207">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（1）社会发展现状</w:t>
      </w:r>
    </w:p>
    <w:p w14:paraId="65E067F6">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大邑县隶属于四川省成都市，地处成都平原向川西北高原的过渡地带，与邛崃山脉接壤。东与崇州市交界，东南与新津区毗邻，西南与邛崃市相邻，西与雅安市芦山县、宝兴县相连，北与阿坝州汶川县接壤。县域总面积1327平方公里。</w:t>
      </w:r>
    </w:p>
    <w:p w14:paraId="6BFD05ED">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大邑县地势西北高，东南低，呈阶梯状渐次降低，依次出现山区、丘陵和平原三大地形区，具有“七山一水二分田”的地貌结构，山区、丘陵和平原分别占全县总面积的60.5%、16.7%、22.8%。邛崃山脉由西北向东南延伸入境，贯穿县西、北山丘地区。西北最高处为西岭镇境内的苗基岭，海拔5364米，为成都市第一峰。</w:t>
      </w:r>
    </w:p>
    <w:p w14:paraId="062404C5">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大邑县辖3个街道与8个镇。属亚热带季风性湿润气候。大邑县历史悠久，文化繁荣。风景秀丽，旅游资源丰富。2019中国西部百强县市。2021年3月，被命名为2020年度成都市实施乡村振兴战略推进城乡融合发展先进区（市）县。</w:t>
      </w:r>
    </w:p>
    <w:p w14:paraId="2DBB7F44">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早在新石器时代，境内已有人类活动。夏、周时为古蜀国地。公元前316年，秦灭古蜀国，今大邑县区域当时为临邛县地。后几经变迁，直至唐高宗咸亨二年（671年），置大邑县，属邛州，县治在今晋原街道。《太平寰宇记》记载：“县置在鹤鸣山东，其邑广大，遂以为名。”元至元二十一年（1284年），撤销安仁县和火井县，其行政区域划归大邑县管辖。明洪武十年（1377年）五月，大邑县撤销，境域并入邛县，属嘉定州，明洪武十三年（1380年）十一月，大邑县建置恢复，仍属嘉定州。明成化十九年（1483年），邛县复升为邛州，大邑隶属邛州，直至1912年。1913年，邛州改为邛崃县，大邑隶上川南道。1914年5月，上川南道改为建昌道。1929年，道制撤销，大邑直隶四川省。1935年6月，大邑隶四川省第四行政督察区。1949年12月20日，大邑县解放。1950年1月8日起，大邑县属眉山管辖；1950年3月起改属温江专区管辖。1960年7月，新津县并入大邑县；1962年3月，新津县建置恢复。1983年5月，大邑县划归成都市管辖。</w:t>
      </w:r>
    </w:p>
    <w:p w14:paraId="5DB1FA6C">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（2）经济发展现状</w:t>
      </w:r>
    </w:p>
    <w:p w14:paraId="574589EE">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2024年，地区生产总值：1-12月，全县实现地区生产总值373.41亿元，同比增长6.2%。其中：第一产业增加值25.94亿元，同比增长2.4%;第二产业增加值151.2亿元，同比增长8.4%；第三产业增加值196.27亿元，同比增长5.2%。</w:t>
      </w:r>
    </w:p>
    <w:p w14:paraId="7F5A3BA4">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规模以上工业增加值：1-12月，全县规模以上工业增加值同比增长5.0%。</w:t>
      </w:r>
    </w:p>
    <w:p w14:paraId="2C187642">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固定资产投资：1-12月，全县固定资产投资总额同比增长22.2%。</w:t>
      </w:r>
    </w:p>
    <w:p w14:paraId="212200AF">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社会消费品零售总额：1-12月，全县实现社会消费品零售总额106.7亿元，同比增长5.1%。限上社会消费品零售总额11.1亿元，同比增长11.4%。</w:t>
      </w:r>
    </w:p>
    <w:p w14:paraId="528BEE39">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2.行业专项规划概况</w:t>
      </w:r>
    </w:p>
    <w:p w14:paraId="70EA5F17">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（1）国家相关政策及规划</w:t>
      </w:r>
    </w:p>
    <w:p w14:paraId="1DCDB0EC">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《中华人民共和国国民经济和社会发展第十四个五年规划和2035年远景目标纲要》</w:t>
      </w:r>
    </w:p>
    <w:p w14:paraId="56B4D1EC">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加快发展现代产业体系巩固壮大实体经济根基。坚持把发展经济着力点放在实体经济上，加快推进制造强国、质量强国建设，促进先进制造业和现代服务业深度融合，强化基础设施支撑引领作用，构建实体经济、科技创新、现代金融、人力资源协同发展的现代产业体系。</w:t>
      </w:r>
    </w:p>
    <w:p w14:paraId="5A176932">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统筹兼顾经济、生活、生态、安全等多元需要，转变超大特大城市开发建设方式，加强超大特大城市治理中的风险防控，促进高质量、可持续发展。有序疏解中心城区一般性制造业、区域性物流基地、专业市场等功能和设施，以及过度集中的医疗和高等教育等公共服务资源，合理降低开发强度和人口密度。增强全球资源配置、科技创新策源、高端产业引领功能，率先形成以现代服务业为主体、先进制造业为支撑的产业结构，提升综合能级与国际竞争力。坚持产城融合，完善郊区新城功能，实现多中心、组团式发展。</w:t>
      </w:r>
    </w:p>
    <w:p w14:paraId="673A9F92">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完善区域合作与利益调节机制，支持流域上下游、粮食主产区主销区、资源输出地输入地之间开展多种形式的利益补偿，鼓励探索共建园区、飞地经济等利益共享模式。聚焦铸牢中华民族共同体意识，加大对民族地区发展支持力度，全面深入持久开展民族团结进步宣传教育和创建，促进各民族交往交流交融。</w:t>
      </w:r>
    </w:p>
    <w:p w14:paraId="6AFA5904">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《国务院关于促进国家高新技术产业开发区高质量发展的若干意见》</w:t>
      </w:r>
    </w:p>
    <w:p w14:paraId="359937F4">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到2025年，国家高新区布局更加优化，自主创新能力明显增强，体制机制持续创新，创新创业环境明显改善，高新技术产业体系基本形成，建立高新技术成果产出、转化和产业化机制，攻克一批支撑产业和区域发展的关键核心技术，形成一批自主可控、国际领先的产品，涌现一批具有国际竞争力的创新型企业和产业集群，建成若干具有世界影响力的高科技园区和一批创新型特色园区。到2035年，建成一大批具有全球影响力的高科技园区，主要产业进入全球价值链中高端，实现园区治理体系和治理能力现代化。</w:t>
      </w:r>
    </w:p>
    <w:p w14:paraId="2DB09F93">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国家高新区要立足区域资源禀赋和本地基础条件，发挥比较优势，因地制宜、因园施策，聚焦特色主导产业，加强区域内创新资源配置和产业发展统筹，优先布局相关重大产业项目，推动形成集聚效应和品牌优势，做大做强特色主导产业，避免趋同化。发挥主导产业战略引领作用，带动关联产业协同发展，形成各具特色的产业生态。支持以领军企业为龙头，以产业链关键产品、创新链关键技术为核心，推动建立专利导航产业发展工作机制，集成大中小企业、研发和服务机构等，加强资源高效配置，培育若干世界级创新型产业集群。</w:t>
      </w:r>
    </w:p>
    <w:p w14:paraId="29957195">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《中国制造2025》</w:t>
      </w:r>
    </w:p>
    <w:p w14:paraId="37809D3C">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绿色发展。坚持把可持续发展作为建设制造强国的重要着力点，加强节能环保技术、工艺、装备推广应用，全面推行清洁生产。发展循环经济，提高资源回收利用效率，构建绿色制造体系，走生态文明的发展道路。</w:t>
      </w:r>
    </w:p>
    <w:p w14:paraId="08CB749F">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积极构建绿色制造体系。支持企业开发绿色产品，推行生态设计，显著提升产品节能环保低碳水平，引导绿色生产和绿色消费。建设绿色工厂，实现厂房集约化、原料无害化、生产洁净化、废物资源化、能源低碳化。发展绿色园区，推进工业园区产业耦合，实现近零排放。打造绿色供应链，加快建立以资源节约、环境友好为导向的采购、生产、营销、回收及物流体系，落实生产者责任延伸制度。壮大绿色企业，支持企业实施绿色战略、绿色标准、绿色管理和绿色生产。强化绿色监管，健全节能环保法规、标准体系，加强节能环保监察，推行企业社会责任报告制度，开展绿色评价。</w:t>
      </w:r>
    </w:p>
    <w:p w14:paraId="72B20FA7">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（2）四川省相关政策及规划</w:t>
      </w:r>
    </w:p>
    <w:p w14:paraId="204120DA">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《四川省国民经济和社会发展第十四个五年规划和二0三五年远景目标纲要》</w:t>
      </w:r>
    </w:p>
    <w:p w14:paraId="673FB46A">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培育产业生态主导型企业，加大垂直一体化整合力度，构建大中小企业配套、上下游企业协同的产业生态圈，推动优势产业集群发展，做强万亿级支柱产业。聚焦半导体、新一代网络技术、智能终端软件等领域，突出创新驱动，构建世界级电子信息产业集群。锚定航空航天、能源装备、燃气轮机、数控机床、工业机器人等重点领域，突出质量为先，打造世界级装备制造产业集群。推动优质白酒和精制川茶、饮用水、健康食品、精品服饰、特色轻工等创新发展，突出品牌制胜，培育世界级消费品产业集群。壮大钒钛、锂钾、铝基、晶硅、稀土、氟硅、玄武岩纤维等生产基地，形成全国重要的先进材料产业集群。大力发展清洁能源，促进大宗化工原料向精细化工转型，加快建设有国际竞争力的能源化工产业集群。以智能网联和新能源为主攻方向，建设高水平汽车产业集群。实施开发区“提扩培引”工程，重点支持千亿级园区和特色产业园区建设。继续支持老工业地区振兴发展和资源型地区转型发展。</w:t>
      </w:r>
    </w:p>
    <w:p w14:paraId="3977AD1A">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深入推动绿色制造示范单位创建，推行绿色设计，构建绿色制造体系。实施重点行业节能和绿色化改造，全面推行清洁生产。加快发展节能环保、清洁能源等绿色产业，建设绿色产业示范基地。健全绿色生产消费法规政策体系，构建市场导向的绿色技术创新体系，推行产品全生命周期绿色管理。</w:t>
      </w:r>
    </w:p>
    <w:p w14:paraId="608F4376">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（3）市本级及区相关政策及规划</w:t>
      </w:r>
    </w:p>
    <w:p w14:paraId="1A4AFC8C">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《成都市国民经济和社会发展第十四个五年规划和二〇三五年远景目标纲要》</w:t>
      </w:r>
    </w:p>
    <w:p w14:paraId="7C189541">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聚焦东向北向出川大通道建设，依托成都创新研发和资源整合能力，发挥川东北清洁能源、特色农业等资源密集优势，强化协调联动发展。积极参与川东北油气资源开发利用，补齐建强上游研发、下游应用转化链条，共建国家天然气综合开发利用示范区，提升成都清洁能源保障和先进制造配套水平。支持成都种业研发、农产品精深加工市场主体参与川东北经济区农业新技术研发推广、农产品精深加工、流通销售等环节打造，共建绿色食品产业集群。</w:t>
      </w:r>
    </w:p>
    <w:p w14:paraId="3008B2D4">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共同建设高水平汽车研发制造基地，联手打造电子信息、装备制造等。具有全球影响力和国际竞争力的现代产业集群，共同培育先进材料、生物医药等高成长性新兴产业集群，协同建设绿色食品等特色消费品产业集群；积极参与川渝合作共建产业合作示范园区。围绕合力打造数字产业新高地提升数智化水平，共同探索数字产业集聚发展模式，共促数字经济创新发展试验。推动两地工业互联网公共服务平台相互开放，合力构建全国领先的“5G+工业互联网生态”，共建成渝工业互联网一体化发展示范区。</w:t>
      </w:r>
    </w:p>
    <w:p w14:paraId="3007F40D">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《大邑县国民经济和社会发展第十四个五年规划和二〇三五年远景目标纲要》</w:t>
      </w:r>
    </w:p>
    <w:p w14:paraId="6BB8BD79">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default" w:ascii="Times New Roman" w:hAnsi="Times New Roman" w:eastAsia="仿宋" w:cs="Times New Roman"/>
          <w:b w:val="0"/>
          <w:bCs w:val="0"/>
          <w:caps/>
          <w:color w:val="auto"/>
          <w:kern w:val="2"/>
          <w:sz w:val="28"/>
          <w:szCs w:val="28"/>
          <w:lang w:val="en-US" w:eastAsia="zh-CN" w:bidi="ar-SA"/>
        </w:rPr>
      </w:pPr>
      <w:r>
        <w:rPr>
          <w:rFonts w:hint="eastAsia" w:ascii="Times New Roman" w:hAnsi="Times New Roman" w:eastAsia="仿宋" w:cs="Times New Roman"/>
          <w:b w:val="0"/>
          <w:bCs w:val="0"/>
          <w:caps/>
          <w:color w:val="auto"/>
          <w:kern w:val="2"/>
          <w:sz w:val="28"/>
          <w:szCs w:val="28"/>
          <w:lang w:val="en-US" w:eastAsia="zh-CN" w:bidi="ar-SA"/>
        </w:rPr>
        <w:t>按照“分类引导，做优存量”的思路，引导具备条件的中小企业专精特新发展，推动传统企业数字化、智能化、绿色化转型。培育“专精特新”中小企业，围绕白酒、绿色食品、油气矿装备等特色优势领域，扶持一批潜力型、成长型、科技型中小企业，建立“专精特新”中小企业动态培育库，培育一批创新能力强、市场占有率高、质量效益优的专精特新“小巨人”“配套专家”。推动传统制造向绿色、高端转型，推进传统食品饮料企业逐步转向生态食品、保健食品、养生食品等研发生产，实施白酒品牌提升行动，引进白酒研发检测等机构，推动传统制药企业向美妆护肤产品、医疗电子产品和设备的研发、检测、认证等价值链高端环节延伸。推动传统制造企业数字化升级，引导传统企业运用新技术实施生产设备和工艺流程智能化改造，开展数字化车间和智能工厂建设试点示范，加快生产组织方式向数字化、网络化转变</w:t>
      </w:r>
      <w:r>
        <w:rPr>
          <w:rFonts w:hint="default" w:ascii="Times New Roman" w:hAnsi="Times New Roman" w:eastAsia="仿宋" w:cs="Times New Roman"/>
          <w:b w:val="0"/>
          <w:bCs w:val="0"/>
          <w:caps/>
          <w:color w:val="auto"/>
          <w:kern w:val="2"/>
          <w:sz w:val="28"/>
          <w:szCs w:val="28"/>
          <w:lang w:val="en-US" w:eastAsia="zh-CN" w:bidi="ar-SA"/>
        </w:rPr>
        <w:t>。</w:t>
      </w:r>
    </w:p>
    <w:p w14:paraId="6DF44683">
      <w:pPr>
        <w:keepNext w:val="0"/>
        <w:keepLines w:val="0"/>
        <w:pageBreakBefore w:val="0"/>
        <w:widowControl/>
        <w:suppressLineNumbers w:val="0"/>
        <w:kinsoku/>
        <w:wordWrap/>
        <w:overflowPunct/>
        <w:topLinePunct w:val="0"/>
        <w:autoSpaceDE/>
        <w:autoSpaceDN/>
        <w:bidi w:val="0"/>
        <w:adjustRightInd/>
        <w:snapToGrid/>
        <w:spacing w:after="180" w:afterAutospacing="0" w:line="360" w:lineRule="auto"/>
        <w:jc w:val="both"/>
        <w:textAlignment w:val="auto"/>
        <w:outlineLvl w:val="1"/>
        <w:rPr>
          <w:rFonts w:hint="default" w:ascii="Times New Roman" w:hAnsi="Times New Roman" w:eastAsia="黑体" w:cs="Times New Roman"/>
          <w:color w:val="auto"/>
          <w:sz w:val="32"/>
          <w:szCs w:val="32"/>
          <w:lang w:val="en-US" w:eastAsia="zh-CN"/>
        </w:rPr>
      </w:pPr>
      <w:r>
        <w:rPr>
          <w:rFonts w:hint="default" w:ascii="Times New Roman" w:hAnsi="Times New Roman" w:eastAsia="仿宋" w:cs="Times New Roman"/>
          <w:b/>
          <w:bCs/>
          <w:color w:val="auto"/>
          <w:sz w:val="32"/>
          <w:szCs w:val="32"/>
          <w:lang w:val="en-US" w:eastAsia="zh-CN"/>
        </w:rPr>
        <w:t>（二）项目情况</w:t>
      </w:r>
      <w:bookmarkEnd w:id="9"/>
      <w:bookmarkEnd w:id="10"/>
      <w:bookmarkEnd w:id="11"/>
      <w:bookmarkEnd w:id="12"/>
      <w:bookmarkEnd w:id="13"/>
      <w:bookmarkEnd w:id="14"/>
      <w:bookmarkEnd w:id="15"/>
      <w:bookmarkEnd w:id="16"/>
    </w:p>
    <w:p w14:paraId="17EF957C">
      <w:pPr>
        <w:pStyle w:val="6"/>
        <w:outlineLvl w:val="2"/>
        <w:rPr>
          <w:rFonts w:hint="default" w:ascii="Times New Roman" w:hAnsi="Times New Roman" w:eastAsia="仿宋" w:cs="Times New Roman"/>
          <w:b/>
          <w:bCs/>
          <w:color w:val="auto"/>
          <w:sz w:val="32"/>
          <w:szCs w:val="32"/>
          <w:lang w:val="en-US" w:eastAsia="zh-CN"/>
        </w:rPr>
      </w:pPr>
      <w:bookmarkStart w:id="18" w:name="_Toc7914"/>
      <w:bookmarkStart w:id="19" w:name="_Toc9265"/>
      <w:bookmarkStart w:id="20" w:name="_Toc23988"/>
      <w:bookmarkStart w:id="21" w:name="_Toc14119"/>
      <w:bookmarkStart w:id="22" w:name="_Toc6078"/>
      <w:bookmarkStart w:id="23" w:name="_Toc1064"/>
      <w:bookmarkStart w:id="24" w:name="_Toc21872"/>
      <w:bookmarkStart w:id="25" w:name="_Toc11692"/>
      <w:r>
        <w:rPr>
          <w:rFonts w:hint="default" w:ascii="Times New Roman" w:hAnsi="Times New Roman" w:eastAsia="仿宋" w:cs="Times New Roman"/>
          <w:b/>
          <w:bCs/>
          <w:color w:val="auto"/>
          <w:sz w:val="32"/>
          <w:szCs w:val="32"/>
          <w:lang w:val="en-US" w:eastAsia="zh-CN"/>
        </w:rPr>
        <w:t>1.参与主体</w:t>
      </w:r>
      <w:bookmarkEnd w:id="18"/>
      <w:bookmarkEnd w:id="19"/>
      <w:bookmarkEnd w:id="20"/>
      <w:bookmarkEnd w:id="21"/>
      <w:bookmarkEnd w:id="22"/>
      <w:bookmarkEnd w:id="23"/>
      <w:bookmarkEnd w:id="24"/>
      <w:bookmarkEnd w:id="25"/>
    </w:p>
    <w:p w14:paraId="4F2B38A8">
      <w:pPr>
        <w:keepNext w:val="0"/>
        <w:keepLines w:val="0"/>
        <w:pageBreakBefore w:val="0"/>
        <w:widowControl/>
        <w:suppressLineNumbers w:val="0"/>
        <w:kinsoku/>
        <w:wordWrap/>
        <w:overflowPunct/>
        <w:topLinePunct w:val="0"/>
        <w:autoSpaceDE/>
        <w:autoSpaceDN/>
        <w:bidi w:val="0"/>
        <w:adjustRightInd/>
        <w:snapToGrid/>
        <w:spacing w:after="180" w:afterAutospacing="0" w:line="360" w:lineRule="auto"/>
        <w:ind w:left="0" w:leftChars="0" w:firstLine="560" w:firstLineChars="200"/>
        <w:jc w:val="both"/>
        <w:textAlignment w:val="auto"/>
        <w:outlineLvl w:val="9"/>
        <w:rPr>
          <w:rFonts w:hint="default" w:ascii="Times New Roman" w:hAnsi="Times New Roman" w:eastAsia="仿宋" w:cs="Times New Roman"/>
          <w:b w:val="0"/>
          <w:bCs w:val="0"/>
          <w:caps/>
          <w:color w:val="auto"/>
          <w:kern w:val="2"/>
          <w:sz w:val="28"/>
          <w:szCs w:val="28"/>
          <w:lang w:val="en-US" w:eastAsia="zh-CN" w:bidi="ar-SA"/>
        </w:rPr>
      </w:pPr>
      <w:r>
        <w:rPr>
          <w:rFonts w:hint="default" w:ascii="Times New Roman" w:hAnsi="Times New Roman" w:eastAsia="仿宋" w:cs="Times New Roman"/>
          <w:b w:val="0"/>
          <w:bCs w:val="0"/>
          <w:caps/>
          <w:color w:val="auto"/>
          <w:kern w:val="2"/>
          <w:sz w:val="28"/>
          <w:szCs w:val="28"/>
          <w:lang w:val="en-US" w:eastAsia="zh-CN" w:bidi="ar-SA"/>
        </w:rPr>
        <w:t>实施机构：</w:t>
      </w:r>
      <w:r>
        <w:rPr>
          <w:rFonts w:hint="eastAsia" w:ascii="Times New Roman" w:hAnsi="Times New Roman" w:eastAsia="仿宋" w:cs="Times New Roman"/>
          <w:b w:val="0"/>
          <w:bCs/>
          <w:color w:val="auto"/>
          <w:kern w:val="2"/>
          <w:sz w:val="28"/>
          <w:szCs w:val="28"/>
          <w:lang w:val="en-US" w:eastAsia="zh-CN"/>
        </w:rPr>
        <w:t>大邑县发展和改革局</w:t>
      </w:r>
    </w:p>
    <w:p w14:paraId="5B89DF6E">
      <w:pPr>
        <w:ind w:firstLine="560" w:firstLineChars="200"/>
        <w:outlineLvl w:val="9"/>
        <w:rPr>
          <w:rFonts w:hint="default" w:ascii="Times New Roman" w:hAnsi="Times New Roman" w:eastAsia="仿宋" w:cs="Times New Roman"/>
          <w:b w:val="0"/>
          <w:bCs/>
          <w:color w:val="auto"/>
          <w:kern w:val="2"/>
          <w:sz w:val="28"/>
          <w:szCs w:val="28"/>
          <w:highlight w:val="none"/>
          <w:lang w:val="en-US" w:eastAsia="zh-CN"/>
        </w:rPr>
      </w:pPr>
      <w:r>
        <w:rPr>
          <w:rFonts w:hint="default" w:ascii="Times New Roman" w:hAnsi="Times New Roman" w:eastAsia="仿宋" w:cs="Times New Roman"/>
          <w:b w:val="0"/>
          <w:bCs w:val="0"/>
          <w:caps/>
          <w:color w:val="auto"/>
          <w:kern w:val="2"/>
          <w:sz w:val="28"/>
          <w:szCs w:val="28"/>
          <w:highlight w:val="none"/>
          <w:lang w:val="en-US" w:eastAsia="zh-CN" w:bidi="ar-SA"/>
        </w:rPr>
        <w:t>业主单位：</w:t>
      </w:r>
      <w:r>
        <w:rPr>
          <w:rFonts w:hint="eastAsia" w:ascii="Times New Roman" w:hAnsi="Times New Roman" w:eastAsia="仿宋" w:cs="Times New Roman"/>
          <w:b w:val="0"/>
          <w:bCs/>
          <w:color w:val="auto"/>
          <w:kern w:val="2"/>
          <w:sz w:val="28"/>
          <w:szCs w:val="28"/>
          <w:highlight w:val="none"/>
          <w:lang w:val="en-US" w:eastAsia="zh-CN"/>
        </w:rPr>
        <w:t>成都西岭兴邑科技发展有限公司</w:t>
      </w:r>
    </w:p>
    <w:p w14:paraId="428ACCC0">
      <w:pPr>
        <w:pageBreakBefore w:val="0"/>
        <w:numPr>
          <w:ilvl w:val="2"/>
          <w:numId w:val="0"/>
        </w:numPr>
        <w:tabs>
          <w:tab w:val="left" w:pos="0"/>
        </w:tabs>
        <w:kinsoku/>
        <w:wordWrap/>
        <w:overflowPunct/>
        <w:topLinePunct w:val="0"/>
        <w:bidi w:val="0"/>
        <w:spacing w:before="381" w:after="190" w:line="360" w:lineRule="auto"/>
        <w:ind w:firstLine="643" w:firstLineChars="200"/>
        <w:outlineLvl w:val="2"/>
        <w:rPr>
          <w:rFonts w:hint="default" w:ascii="Times New Roman" w:hAnsi="Times New Roman" w:eastAsia="仿宋" w:cs="Times New Roman"/>
          <w:b/>
          <w:bCs/>
          <w:color w:val="auto"/>
          <w:kern w:val="0"/>
          <w:sz w:val="32"/>
          <w:szCs w:val="32"/>
          <w:highlight w:val="none"/>
          <w:lang w:val="en-US" w:eastAsia="zh-CN" w:bidi="ar-SA"/>
        </w:rPr>
      </w:pPr>
      <w:bookmarkStart w:id="26" w:name="_Toc14972"/>
      <w:bookmarkStart w:id="27" w:name="_Toc30046"/>
      <w:bookmarkStart w:id="28" w:name="_Toc22356"/>
      <w:bookmarkStart w:id="29" w:name="_Toc5326"/>
      <w:bookmarkStart w:id="30" w:name="_Toc4294"/>
      <w:bookmarkStart w:id="31" w:name="_Toc10923"/>
      <w:bookmarkStart w:id="32" w:name="_Toc6630"/>
      <w:bookmarkStart w:id="33" w:name="_Toc9122"/>
      <w:bookmarkStart w:id="34" w:name="_Toc16934"/>
      <w:r>
        <w:rPr>
          <w:rFonts w:hint="default" w:ascii="Times New Roman" w:hAnsi="Times New Roman" w:eastAsia="仿宋" w:cs="Times New Roman"/>
          <w:b/>
          <w:bCs/>
          <w:color w:val="auto"/>
          <w:kern w:val="0"/>
          <w:sz w:val="32"/>
          <w:szCs w:val="32"/>
          <w:highlight w:val="none"/>
          <w:lang w:val="en-US" w:eastAsia="zh-CN" w:bidi="ar-SA"/>
        </w:rPr>
        <w:t>2.项目概况</w:t>
      </w:r>
      <w:bookmarkEnd w:id="26"/>
      <w:bookmarkEnd w:id="27"/>
      <w:bookmarkEnd w:id="28"/>
      <w:bookmarkEnd w:id="29"/>
      <w:bookmarkEnd w:id="30"/>
      <w:bookmarkEnd w:id="31"/>
      <w:bookmarkEnd w:id="32"/>
      <w:bookmarkEnd w:id="33"/>
      <w:bookmarkEnd w:id="34"/>
    </w:p>
    <w:bookmarkEnd w:id="17"/>
    <w:p w14:paraId="09A314AE">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default" w:ascii="Times New Roman" w:hAnsi="Times New Roman" w:eastAsia="仿宋" w:cs="Times New Roman"/>
          <w:b w:val="0"/>
          <w:bCs w:val="0"/>
          <w:caps/>
          <w:color w:val="auto"/>
          <w:kern w:val="2"/>
          <w:sz w:val="28"/>
          <w:szCs w:val="28"/>
          <w:lang w:val="en-US" w:eastAsia="zh-CN" w:bidi="ar-SA"/>
        </w:rPr>
      </w:pPr>
      <w:bookmarkStart w:id="35" w:name="_Toc1720132"/>
      <w:bookmarkStart w:id="36" w:name="_Toc1403"/>
      <w:bookmarkStart w:id="37" w:name="_Toc523481534"/>
      <w:bookmarkStart w:id="38" w:name="_Toc533440322"/>
      <w:bookmarkStart w:id="39" w:name="_Toc522211065"/>
      <w:r>
        <w:rPr>
          <w:rFonts w:hint="default" w:ascii="Times New Roman" w:hAnsi="Times New Roman" w:eastAsia="仿宋" w:cs="Times New Roman"/>
          <w:b w:val="0"/>
          <w:bCs w:val="0"/>
          <w:caps/>
          <w:color w:val="auto"/>
          <w:kern w:val="2"/>
          <w:sz w:val="28"/>
          <w:szCs w:val="28"/>
          <w:lang w:val="en-US" w:eastAsia="zh-CN" w:bidi="ar-SA"/>
        </w:rPr>
        <w:t>项目名称：四川大邑经济开发区产业园区基础设施及配套建设项目</w:t>
      </w:r>
    </w:p>
    <w:p w14:paraId="6D224F75">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default" w:ascii="Times New Roman" w:hAnsi="Times New Roman" w:eastAsia="仿宋" w:cs="Times New Roman"/>
          <w:b w:val="0"/>
          <w:bCs w:val="0"/>
          <w:caps/>
          <w:color w:val="auto"/>
          <w:kern w:val="2"/>
          <w:sz w:val="28"/>
          <w:szCs w:val="28"/>
          <w:lang w:val="en-US" w:eastAsia="zh-CN" w:bidi="ar-SA"/>
        </w:rPr>
      </w:pPr>
      <w:r>
        <w:rPr>
          <w:rFonts w:hint="default" w:ascii="Times New Roman" w:hAnsi="Times New Roman" w:eastAsia="仿宋" w:cs="Times New Roman"/>
          <w:b w:val="0"/>
          <w:bCs w:val="0"/>
          <w:caps/>
          <w:color w:val="auto"/>
          <w:kern w:val="2"/>
          <w:sz w:val="28"/>
          <w:szCs w:val="28"/>
          <w:lang w:val="en-US" w:eastAsia="zh-CN" w:bidi="ar-SA"/>
        </w:rPr>
        <w:t>项目所属领域：市政和产业园区基础设施-产业园区基础设施</w:t>
      </w:r>
    </w:p>
    <w:p w14:paraId="63A273B7">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default" w:ascii="Times New Roman" w:hAnsi="Times New Roman" w:eastAsia="仿宋" w:cs="Times New Roman"/>
          <w:b w:val="0"/>
          <w:bCs w:val="0"/>
          <w:caps/>
          <w:color w:val="auto"/>
          <w:kern w:val="2"/>
          <w:sz w:val="28"/>
          <w:szCs w:val="28"/>
          <w:lang w:val="en-US" w:eastAsia="zh-CN" w:bidi="ar-SA"/>
        </w:rPr>
      </w:pPr>
      <w:r>
        <w:rPr>
          <w:rFonts w:hint="default" w:ascii="Times New Roman" w:hAnsi="Times New Roman" w:eastAsia="仿宋" w:cs="Times New Roman"/>
          <w:b w:val="0"/>
          <w:bCs w:val="0"/>
          <w:caps/>
          <w:color w:val="auto"/>
          <w:kern w:val="2"/>
          <w:sz w:val="28"/>
          <w:szCs w:val="28"/>
          <w:lang w:val="en-US" w:eastAsia="zh-CN" w:bidi="ar-SA"/>
        </w:rPr>
        <w:t>项目建设工期：共计36个月</w:t>
      </w:r>
    </w:p>
    <w:p w14:paraId="1EF63899">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default" w:ascii="Times New Roman" w:hAnsi="Times New Roman" w:eastAsia="仿宋" w:cs="Times New Roman"/>
          <w:b w:val="0"/>
          <w:bCs w:val="0"/>
          <w:caps/>
          <w:color w:val="auto"/>
          <w:kern w:val="2"/>
          <w:sz w:val="28"/>
          <w:szCs w:val="28"/>
          <w:lang w:val="en-US" w:eastAsia="zh-CN" w:bidi="ar-SA"/>
        </w:rPr>
      </w:pPr>
      <w:r>
        <w:rPr>
          <w:rFonts w:hint="default" w:ascii="Times New Roman" w:hAnsi="Times New Roman" w:eastAsia="仿宋" w:cs="Times New Roman"/>
          <w:b w:val="0"/>
          <w:bCs w:val="0"/>
          <w:caps/>
          <w:color w:val="auto"/>
          <w:kern w:val="2"/>
          <w:sz w:val="28"/>
          <w:szCs w:val="28"/>
          <w:lang w:val="en-US" w:eastAsia="zh-CN" w:bidi="ar-SA"/>
        </w:rPr>
        <w:t>项目地址：四川大邑经济开发区范围内</w:t>
      </w:r>
    </w:p>
    <w:p w14:paraId="46A455B6">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default" w:ascii="Times New Roman" w:hAnsi="Times New Roman" w:eastAsia="仿宋" w:cs="Times New Roman"/>
          <w:b w:val="0"/>
          <w:bCs w:val="0"/>
          <w:caps/>
          <w:color w:val="auto"/>
          <w:kern w:val="2"/>
          <w:sz w:val="28"/>
          <w:szCs w:val="28"/>
          <w:lang w:val="en-US" w:eastAsia="zh-CN" w:bidi="ar-SA"/>
        </w:rPr>
      </w:pPr>
      <w:r>
        <w:rPr>
          <w:rFonts w:hint="default" w:ascii="Times New Roman" w:hAnsi="Times New Roman" w:eastAsia="仿宋" w:cs="Times New Roman"/>
          <w:b w:val="0"/>
          <w:bCs w:val="0"/>
          <w:caps/>
          <w:color w:val="auto"/>
          <w:kern w:val="2"/>
          <w:sz w:val="28"/>
          <w:szCs w:val="28"/>
          <w:lang w:val="en-US" w:eastAsia="zh-CN" w:bidi="ar-SA"/>
        </w:rPr>
        <w:t>项目说明：</w:t>
      </w:r>
    </w:p>
    <w:p w14:paraId="5C12E0AD">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default" w:ascii="Times New Roman" w:hAnsi="Times New Roman" w:eastAsia="仿宋" w:cs="Times New Roman"/>
          <w:b w:val="0"/>
          <w:bCs w:val="0"/>
          <w:caps/>
          <w:color w:val="auto"/>
          <w:kern w:val="2"/>
          <w:sz w:val="28"/>
          <w:szCs w:val="28"/>
          <w:lang w:val="en-US" w:eastAsia="zh-CN" w:bidi="ar-SA"/>
        </w:rPr>
      </w:pPr>
      <w:r>
        <w:rPr>
          <w:rFonts w:hint="default" w:ascii="Times New Roman" w:hAnsi="Times New Roman" w:eastAsia="仿宋" w:cs="Times New Roman"/>
          <w:b w:val="0"/>
          <w:bCs w:val="0"/>
          <w:caps/>
          <w:color w:val="auto"/>
          <w:kern w:val="2"/>
          <w:sz w:val="28"/>
          <w:szCs w:val="28"/>
          <w:lang w:val="en-US" w:eastAsia="zh-CN" w:bidi="ar-SA"/>
        </w:rPr>
        <w:t>本项目为新建工程，资产无抵押或质押情况。</w:t>
      </w:r>
    </w:p>
    <w:p w14:paraId="5F456B9C">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default" w:ascii="Times New Roman" w:hAnsi="Times New Roman" w:eastAsia="仿宋" w:cs="Times New Roman"/>
          <w:b w:val="0"/>
          <w:bCs w:val="0"/>
          <w:caps/>
          <w:color w:val="auto"/>
          <w:kern w:val="2"/>
          <w:sz w:val="28"/>
          <w:szCs w:val="28"/>
          <w:lang w:val="en-US" w:eastAsia="zh-CN" w:bidi="ar-SA"/>
        </w:rPr>
      </w:pPr>
      <w:r>
        <w:rPr>
          <w:rFonts w:hint="default" w:ascii="Times New Roman" w:hAnsi="Times New Roman" w:eastAsia="仿宋" w:cs="Times New Roman"/>
          <w:b w:val="0"/>
          <w:bCs w:val="0"/>
          <w:caps/>
          <w:color w:val="auto"/>
          <w:kern w:val="2"/>
          <w:sz w:val="28"/>
          <w:szCs w:val="28"/>
          <w:lang w:val="en-US" w:eastAsia="zh-CN" w:bidi="ar-SA"/>
        </w:rPr>
        <w:t>主要建设内容：</w:t>
      </w:r>
    </w:p>
    <w:p w14:paraId="768857E7">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default" w:ascii="Times New Roman" w:hAnsi="Times New Roman" w:eastAsia="仿宋" w:cs="Times New Roman"/>
          <w:b w:val="0"/>
          <w:bCs w:val="0"/>
          <w:caps/>
          <w:color w:val="auto"/>
          <w:kern w:val="2"/>
          <w:sz w:val="28"/>
          <w:szCs w:val="28"/>
          <w:lang w:val="en-US" w:eastAsia="zh-CN" w:bidi="ar-SA"/>
        </w:rPr>
      </w:pPr>
      <w:r>
        <w:rPr>
          <w:rFonts w:hint="default" w:ascii="Times New Roman" w:hAnsi="Times New Roman" w:eastAsia="仿宋" w:cs="Times New Roman"/>
          <w:b w:val="0"/>
          <w:bCs w:val="0"/>
          <w:caps/>
          <w:color w:val="auto"/>
          <w:kern w:val="2"/>
          <w:sz w:val="28"/>
          <w:szCs w:val="28"/>
          <w:lang w:val="en-US" w:eastAsia="zh-CN" w:bidi="ar-SA"/>
        </w:rPr>
        <w:t>新建定制化厂房约184000平方米，多层厂房6000平方米，新增停车位620个，改造园区管网等基础设施及建设其他配套设施。</w:t>
      </w:r>
    </w:p>
    <w:p w14:paraId="6B52290A">
      <w:pPr>
        <w:numPr>
          <w:ilvl w:val="0"/>
          <w:numId w:val="0"/>
        </w:numPr>
        <w:spacing w:beforeLines="50" w:afterLines="50" w:line="360" w:lineRule="auto"/>
        <w:jc w:val="both"/>
        <w:outlineLvl w:val="0"/>
        <w:rPr>
          <w:rFonts w:hint="default" w:ascii="Times New Roman" w:hAnsi="Times New Roman" w:eastAsia="仿宋" w:cs="Times New Roman"/>
          <w:b/>
          <w:bCs/>
          <w:color w:val="auto"/>
          <w:sz w:val="32"/>
          <w:szCs w:val="32"/>
          <w:lang w:val="en-US" w:eastAsia="zh-CN"/>
        </w:rPr>
      </w:pPr>
      <w:r>
        <w:rPr>
          <w:rFonts w:hint="default" w:ascii="Times New Roman" w:hAnsi="Times New Roman" w:eastAsia="仿宋" w:cs="Times New Roman"/>
          <w:b/>
          <w:bCs/>
          <w:color w:val="auto"/>
          <w:sz w:val="32"/>
          <w:szCs w:val="32"/>
          <w:lang w:val="en-US" w:eastAsia="zh-CN"/>
        </w:rPr>
        <w:t>二、经济社会效益分析</w:t>
      </w:r>
      <w:bookmarkEnd w:id="35"/>
      <w:bookmarkEnd w:id="36"/>
      <w:bookmarkEnd w:id="37"/>
      <w:bookmarkEnd w:id="38"/>
      <w:bookmarkEnd w:id="39"/>
    </w:p>
    <w:p w14:paraId="4A436A44">
      <w:pPr>
        <w:pageBreakBefore w:val="0"/>
        <w:widowControl w:val="0"/>
        <w:kinsoku/>
        <w:wordWrap/>
        <w:overflowPunct/>
        <w:topLinePunct w:val="0"/>
        <w:autoSpaceDE/>
        <w:autoSpaceDN/>
        <w:bidi w:val="0"/>
        <w:adjustRightInd/>
        <w:snapToGrid/>
        <w:spacing w:beforeLines="50" w:afterLines="50" w:line="360" w:lineRule="auto"/>
        <w:jc w:val="both"/>
        <w:textAlignment w:val="auto"/>
        <w:outlineLvl w:val="1"/>
        <w:rPr>
          <w:rFonts w:hint="default" w:ascii="Times New Roman" w:hAnsi="Times New Roman" w:eastAsia="仿宋" w:cs="Times New Roman"/>
          <w:b/>
          <w:bCs/>
          <w:color w:val="auto"/>
          <w:sz w:val="32"/>
          <w:szCs w:val="32"/>
          <w:lang w:val="en-US"/>
        </w:rPr>
      </w:pPr>
      <w:bookmarkStart w:id="40" w:name="_Toc533440323"/>
      <w:bookmarkStart w:id="41" w:name="_Toc17794"/>
      <w:bookmarkStart w:id="42" w:name="_Toc523481535"/>
      <w:bookmarkStart w:id="43" w:name="_Toc522211066"/>
      <w:bookmarkStart w:id="44" w:name="_Toc1720133"/>
      <w:r>
        <w:rPr>
          <w:rFonts w:hint="default" w:ascii="Times New Roman" w:hAnsi="Times New Roman" w:eastAsia="仿宋" w:cs="Times New Roman"/>
          <w:b/>
          <w:bCs/>
          <w:color w:val="auto"/>
          <w:sz w:val="32"/>
          <w:szCs w:val="32"/>
          <w:lang w:val="en-US"/>
        </w:rPr>
        <w:t>（一）经济效益</w:t>
      </w:r>
      <w:bookmarkEnd w:id="40"/>
      <w:bookmarkEnd w:id="41"/>
      <w:bookmarkEnd w:id="42"/>
      <w:bookmarkEnd w:id="43"/>
      <w:bookmarkEnd w:id="44"/>
    </w:p>
    <w:p w14:paraId="456A5249">
      <w:pPr>
        <w:numPr>
          <w:ilvl w:val="0"/>
          <w:numId w:val="0"/>
        </w:numPr>
        <w:spacing w:beforeLines="50" w:afterLines="50" w:line="360" w:lineRule="auto"/>
        <w:ind w:firstLine="560" w:firstLineChars="200"/>
        <w:jc w:val="both"/>
        <w:outlineLvl w:val="9"/>
        <w:rPr>
          <w:rFonts w:hint="eastAsia" w:ascii="Times New Roman" w:hAnsi="Times New Roman" w:eastAsia="仿宋" w:cs="Times New Roman"/>
          <w:b w:val="0"/>
          <w:bCs w:val="0"/>
          <w:color w:val="auto"/>
          <w:kern w:val="2"/>
          <w:sz w:val="28"/>
          <w:szCs w:val="28"/>
          <w:lang w:val="en-US" w:eastAsia="zh-CN" w:bidi="ar-SA"/>
        </w:rPr>
      </w:pPr>
      <w:bookmarkStart w:id="45" w:name="_Toc19320"/>
      <w:r>
        <w:rPr>
          <w:rFonts w:hint="eastAsia" w:ascii="Times New Roman" w:hAnsi="Times New Roman" w:eastAsia="仿宋" w:cs="Times New Roman"/>
          <w:b w:val="0"/>
          <w:bCs w:val="0"/>
          <w:color w:val="auto"/>
          <w:kern w:val="2"/>
          <w:sz w:val="28"/>
          <w:szCs w:val="28"/>
          <w:lang w:val="en-US" w:eastAsia="zh-CN" w:bidi="ar-SA"/>
        </w:rPr>
        <w:t>大邑县坚持推动能源化工及装备制造两大主导产业高端化，同步推进传统产业新型化、新兴产业规模化，推动构建以实体经济为支撑的“2+3+2”现代化产业体系。到2025年，要将大邑县打造为重要产业载体，大力推进西部绿色油气融合发展样板区建设，打造为成渝地区高端制造业产业协作和核心配套基地。工业经济保持平稳健康增长，总量规模持续壮大，创新能力进一步提升，主导产业竞争力明显增强，四川绿色油气化工产业园初具规模，现代产业体系构建基本完成。</w:t>
      </w:r>
    </w:p>
    <w:p w14:paraId="66C70477">
      <w:pPr>
        <w:numPr>
          <w:ilvl w:val="0"/>
          <w:numId w:val="0"/>
        </w:numPr>
        <w:spacing w:beforeLines="50" w:afterLines="50" w:line="360" w:lineRule="auto"/>
        <w:ind w:firstLine="560" w:firstLineChars="200"/>
        <w:jc w:val="both"/>
        <w:outlineLvl w:val="9"/>
        <w:rPr>
          <w:rFonts w:hint="eastAsia" w:ascii="Times New Roman" w:hAnsi="Times New Roman" w:eastAsia="仿宋" w:cs="Times New Roman"/>
          <w:b w:val="0"/>
          <w:bCs w:val="0"/>
          <w:color w:val="auto"/>
          <w:kern w:val="2"/>
          <w:sz w:val="28"/>
          <w:szCs w:val="28"/>
          <w:lang w:val="en-US" w:eastAsia="zh-CN" w:bidi="ar-SA"/>
        </w:rPr>
      </w:pPr>
      <w:r>
        <w:rPr>
          <w:rFonts w:hint="eastAsia" w:ascii="Times New Roman" w:hAnsi="Times New Roman" w:eastAsia="仿宋" w:cs="Times New Roman"/>
          <w:b w:val="0"/>
          <w:bCs w:val="0"/>
          <w:color w:val="auto"/>
          <w:kern w:val="2"/>
          <w:sz w:val="28"/>
          <w:szCs w:val="28"/>
          <w:lang w:val="en-US" w:eastAsia="zh-CN" w:bidi="ar-SA"/>
        </w:rPr>
        <w:t>本项目实施后，将进一步提升大邑县经开区产业园区基础设施现代化水平，完善现代化产业体系，吸引更多优质企业入驻，壮大产业规模，直接增加地方财政预算收入。其次，项目的建设将为当地技术产业延续不断升级、提高生产力水平、提供坚实保障、提升有效投资规模，使城市建设符合科学发展和可持续发展的要求，促进当地经济不断发展。</w:t>
      </w:r>
    </w:p>
    <w:p w14:paraId="5EAA65CA">
      <w:pPr>
        <w:numPr>
          <w:ilvl w:val="0"/>
          <w:numId w:val="0"/>
        </w:numPr>
        <w:spacing w:beforeLines="50" w:afterLines="50" w:line="360" w:lineRule="auto"/>
        <w:ind w:firstLine="560" w:firstLineChars="200"/>
        <w:jc w:val="both"/>
        <w:outlineLvl w:val="9"/>
        <w:rPr>
          <w:rFonts w:hint="eastAsia" w:ascii="Times New Roman" w:hAnsi="Times New Roman" w:eastAsia="仿宋" w:cs="Times New Roman"/>
          <w:b w:val="0"/>
          <w:bCs w:val="0"/>
          <w:color w:val="auto"/>
          <w:kern w:val="2"/>
          <w:sz w:val="28"/>
          <w:szCs w:val="28"/>
          <w:lang w:val="en-US" w:eastAsia="zh-CN" w:bidi="ar-SA"/>
        </w:rPr>
      </w:pPr>
      <w:r>
        <w:rPr>
          <w:rFonts w:hint="eastAsia" w:ascii="Times New Roman" w:hAnsi="Times New Roman" w:eastAsia="仿宋" w:cs="Times New Roman"/>
          <w:b w:val="0"/>
          <w:bCs w:val="0"/>
          <w:color w:val="auto"/>
          <w:kern w:val="2"/>
          <w:sz w:val="28"/>
          <w:szCs w:val="28"/>
          <w:lang w:val="en-US" w:eastAsia="zh-CN" w:bidi="ar-SA"/>
        </w:rPr>
        <w:t>同时，集聚在产业园区内的大企业大项目将催生一大批中小企业创新创业，也为中小企业在产业链上下游两头延伸发展带来了商机。产业分工的专业化，以及地理的接近性、社会关系的依赖性、外部经济资源的共享性等因素将极大地增强中小企业的竞争力，促使中小企业做专做精，与大企业实现共同发展。</w:t>
      </w:r>
    </w:p>
    <w:p w14:paraId="10D626A4">
      <w:pPr>
        <w:numPr>
          <w:ilvl w:val="0"/>
          <w:numId w:val="0"/>
        </w:numPr>
        <w:spacing w:beforeLines="50" w:afterLines="50" w:line="360" w:lineRule="auto"/>
        <w:ind w:firstLine="560" w:firstLineChars="200"/>
        <w:jc w:val="both"/>
        <w:outlineLvl w:val="9"/>
        <w:rPr>
          <w:rFonts w:hint="eastAsia" w:ascii="Times New Roman" w:hAnsi="Times New Roman" w:eastAsia="仿宋" w:cs="Times New Roman"/>
          <w:b w:val="0"/>
          <w:bCs w:val="0"/>
          <w:color w:val="auto"/>
          <w:kern w:val="2"/>
          <w:sz w:val="28"/>
          <w:szCs w:val="28"/>
          <w:lang w:val="en-US" w:eastAsia="zh-CN" w:bidi="ar-SA"/>
        </w:rPr>
      </w:pPr>
      <w:r>
        <w:rPr>
          <w:rFonts w:hint="eastAsia" w:ascii="Times New Roman" w:hAnsi="Times New Roman" w:eastAsia="仿宋" w:cs="Times New Roman"/>
          <w:b w:val="0"/>
          <w:bCs w:val="0"/>
          <w:color w:val="auto"/>
          <w:kern w:val="2"/>
          <w:sz w:val="28"/>
          <w:szCs w:val="28"/>
          <w:lang w:val="en-US" w:eastAsia="zh-CN" w:bidi="ar-SA"/>
        </w:rPr>
        <w:t>另外，产业园区内大量企业以及企业项目所延伸的配套服务业将提供大量就业岗位，有利于解决当地人员的就业问题，有利于社会稳定发展。因此，本项目具有良好的经济收益。</w:t>
      </w:r>
    </w:p>
    <w:p w14:paraId="2A665978">
      <w:pPr>
        <w:pageBreakBefore w:val="0"/>
        <w:widowControl w:val="0"/>
        <w:kinsoku/>
        <w:wordWrap/>
        <w:overflowPunct/>
        <w:topLinePunct w:val="0"/>
        <w:autoSpaceDE/>
        <w:autoSpaceDN/>
        <w:bidi w:val="0"/>
        <w:adjustRightInd/>
        <w:snapToGrid/>
        <w:spacing w:beforeLines="50" w:afterLines="50" w:line="360" w:lineRule="auto"/>
        <w:jc w:val="both"/>
        <w:textAlignment w:val="auto"/>
        <w:outlineLvl w:val="1"/>
        <w:rPr>
          <w:rFonts w:hint="eastAsia" w:ascii="Times New Roman" w:hAnsi="Times New Roman" w:eastAsia="仿宋" w:cs="Times New Roman"/>
          <w:b/>
          <w:bCs/>
          <w:color w:val="auto"/>
          <w:sz w:val="32"/>
          <w:szCs w:val="32"/>
          <w:lang w:val="en-US" w:eastAsia="zh-CN"/>
        </w:rPr>
      </w:pPr>
      <w:r>
        <w:rPr>
          <w:rFonts w:hint="eastAsia" w:ascii="Times New Roman" w:hAnsi="Times New Roman" w:eastAsia="仿宋" w:cs="Times New Roman"/>
          <w:b/>
          <w:bCs/>
          <w:color w:val="auto"/>
          <w:sz w:val="32"/>
          <w:szCs w:val="32"/>
          <w:lang w:val="en-US" w:eastAsia="zh-CN"/>
        </w:rPr>
        <w:t>（二）社会效益</w:t>
      </w:r>
    </w:p>
    <w:p w14:paraId="0DC4A8EE">
      <w:pPr>
        <w:numPr>
          <w:ilvl w:val="0"/>
          <w:numId w:val="0"/>
        </w:numPr>
        <w:spacing w:beforeLines="50" w:afterLines="50" w:line="360" w:lineRule="auto"/>
        <w:ind w:firstLine="560" w:firstLineChars="200"/>
        <w:jc w:val="both"/>
        <w:outlineLvl w:val="9"/>
        <w:rPr>
          <w:rFonts w:hint="eastAsia" w:ascii="Times New Roman" w:hAnsi="Times New Roman" w:eastAsia="仿宋" w:cs="Times New Roman"/>
          <w:b w:val="0"/>
          <w:bCs w:val="0"/>
          <w:color w:val="auto"/>
          <w:kern w:val="2"/>
          <w:sz w:val="28"/>
          <w:szCs w:val="28"/>
          <w:lang w:val="en-US" w:eastAsia="zh-CN" w:bidi="ar-SA"/>
        </w:rPr>
      </w:pPr>
      <w:r>
        <w:rPr>
          <w:rFonts w:hint="eastAsia" w:ascii="Times New Roman" w:hAnsi="Times New Roman" w:eastAsia="仿宋" w:cs="Times New Roman"/>
          <w:b w:val="0"/>
          <w:bCs w:val="0"/>
          <w:color w:val="auto"/>
          <w:kern w:val="2"/>
          <w:sz w:val="28"/>
          <w:szCs w:val="28"/>
          <w:lang w:val="en-US" w:eastAsia="zh-CN" w:bidi="ar-SA"/>
        </w:rPr>
        <w:t>有利于加快产业结构优化升级。要加快大邑县经开区产业结构优化升级，就必须通过大项目机遇来壮大规模、提高厂房生产总值占经济生产总值比重，才能借机达到不断优化布局，提升产业综合竞争力的目的。项目建成后，必将带动相关产业群的相互支撑，提升传统产业的技术装备和生产水平，促进形成协调发展的格局，推动形成产业集群和循环经济形成。项目建成投产后，将推进区域经济发展的集聚效应，进一步拉动生产要素在区域间自由流动和优化配置，形成分工合理、主业突出、比较优势得以发挥的区域产业结构，促进区域经济协调发展。</w:t>
      </w:r>
    </w:p>
    <w:p w14:paraId="5400934F">
      <w:pPr>
        <w:numPr>
          <w:ilvl w:val="0"/>
          <w:numId w:val="0"/>
        </w:numPr>
        <w:spacing w:beforeLines="50" w:afterLines="50" w:line="360" w:lineRule="auto"/>
        <w:ind w:firstLine="560" w:firstLineChars="200"/>
        <w:jc w:val="both"/>
        <w:outlineLvl w:val="9"/>
        <w:rPr>
          <w:rFonts w:hint="eastAsia" w:ascii="Times New Roman" w:hAnsi="Times New Roman" w:eastAsia="仿宋" w:cs="Times New Roman"/>
          <w:b w:val="0"/>
          <w:bCs w:val="0"/>
          <w:color w:val="auto"/>
          <w:kern w:val="2"/>
          <w:sz w:val="28"/>
          <w:szCs w:val="28"/>
          <w:lang w:val="en-US" w:eastAsia="zh-CN" w:bidi="ar-SA"/>
        </w:rPr>
      </w:pPr>
      <w:r>
        <w:rPr>
          <w:rFonts w:hint="eastAsia" w:ascii="Times New Roman" w:hAnsi="Times New Roman" w:eastAsia="仿宋" w:cs="Times New Roman"/>
          <w:b w:val="0"/>
          <w:bCs w:val="0"/>
          <w:color w:val="auto"/>
          <w:kern w:val="2"/>
          <w:sz w:val="28"/>
          <w:szCs w:val="28"/>
          <w:lang w:val="en-US" w:eastAsia="zh-CN" w:bidi="ar-SA"/>
        </w:rPr>
        <w:t>有利于加快当地高新技术产业发展。高新技术产业引领发展方式转变的示范作用日益突出。项目的建设将对当地进一步加强科技创新并不断调整优化产业结构起到积极作用，将大力发展低消耗、低排放、高效益的高新技术产业，着力改造提升传统支柱产业，着眼市场需求和产业发展方向，研发具有自主知识产权和市场竞争力的重大战略产品，提升重点产业的核心竞争力，推进节能减排和环境保护，为当地经济社会发展方式转变发挥示范带头作用。</w:t>
      </w:r>
    </w:p>
    <w:p w14:paraId="5C997CA7">
      <w:pPr>
        <w:numPr>
          <w:ilvl w:val="0"/>
          <w:numId w:val="0"/>
        </w:numPr>
        <w:spacing w:beforeLines="50" w:afterLines="50" w:line="360" w:lineRule="auto"/>
        <w:ind w:firstLine="560" w:firstLineChars="200"/>
        <w:jc w:val="both"/>
        <w:outlineLvl w:val="9"/>
        <w:rPr>
          <w:rFonts w:hint="eastAsia" w:ascii="Times New Roman" w:hAnsi="Times New Roman" w:eastAsia="仿宋" w:cs="Times New Roman"/>
          <w:b w:val="0"/>
          <w:bCs w:val="0"/>
          <w:color w:val="auto"/>
          <w:kern w:val="2"/>
          <w:sz w:val="28"/>
          <w:szCs w:val="28"/>
          <w:lang w:val="en-US" w:eastAsia="zh-CN" w:bidi="ar-SA"/>
        </w:rPr>
      </w:pPr>
      <w:r>
        <w:rPr>
          <w:rFonts w:hint="eastAsia" w:ascii="Times New Roman" w:hAnsi="Times New Roman" w:eastAsia="仿宋" w:cs="Times New Roman"/>
          <w:b w:val="0"/>
          <w:bCs w:val="0"/>
          <w:color w:val="auto"/>
          <w:kern w:val="2"/>
          <w:sz w:val="28"/>
          <w:szCs w:val="28"/>
          <w:lang w:val="en-US" w:eastAsia="zh-CN" w:bidi="ar-SA"/>
        </w:rPr>
        <w:t>有利于环境保护和社会经济的可持续发展。产业园区以较小的成本为企业集中供水供热供气，集中进行废水废气等工业污染物的处理，广泛开展创建生态示范区活动，为生物医药、能源化工及装备制造等高科技产业提供所需要的特殊生产环境，使产业园区与企业共赢，人与自然和谐，保障了人类社会的可持续发展。因此，本项目具有良好的社会效益。</w:t>
      </w:r>
    </w:p>
    <w:p w14:paraId="6F89443D">
      <w:pPr>
        <w:numPr>
          <w:ilvl w:val="0"/>
          <w:numId w:val="0"/>
        </w:numPr>
        <w:spacing w:beforeLines="50" w:afterLines="50" w:line="360" w:lineRule="auto"/>
        <w:ind w:firstLine="560" w:firstLineChars="200"/>
        <w:jc w:val="both"/>
        <w:outlineLvl w:val="9"/>
        <w:rPr>
          <w:rFonts w:hint="default" w:ascii="Times New Roman" w:hAnsi="Times New Roman" w:eastAsia="仿宋" w:cs="Times New Roman"/>
          <w:b w:val="0"/>
          <w:bCs w:val="0"/>
          <w:color w:val="auto"/>
          <w:kern w:val="2"/>
          <w:sz w:val="28"/>
          <w:szCs w:val="28"/>
          <w:lang w:val="en-US" w:eastAsia="zh-CN" w:bidi="ar-SA"/>
        </w:rPr>
      </w:pPr>
      <w:r>
        <w:rPr>
          <w:rFonts w:hint="eastAsia" w:ascii="Times New Roman" w:hAnsi="Times New Roman" w:eastAsia="仿宋" w:cs="Times New Roman"/>
          <w:b w:val="0"/>
          <w:bCs w:val="0"/>
          <w:color w:val="auto"/>
          <w:kern w:val="2"/>
          <w:sz w:val="28"/>
          <w:szCs w:val="28"/>
          <w:lang w:val="en-US" w:eastAsia="zh-CN" w:bidi="ar-SA"/>
        </w:rPr>
        <w:t>综上所述，本项目的实施，将会产生良好的经济效益、社会效益，推动地方经济发展和社会进步</w:t>
      </w:r>
      <w:r>
        <w:rPr>
          <w:rFonts w:hint="default" w:ascii="Times New Roman" w:hAnsi="Times New Roman" w:eastAsia="仿宋" w:cs="Times New Roman"/>
          <w:b w:val="0"/>
          <w:bCs w:val="0"/>
          <w:color w:val="auto"/>
          <w:kern w:val="2"/>
          <w:sz w:val="28"/>
          <w:szCs w:val="28"/>
          <w:lang w:val="en-US" w:eastAsia="zh-CN" w:bidi="ar-SA"/>
        </w:rPr>
        <w:t>。</w:t>
      </w:r>
    </w:p>
    <w:p w14:paraId="7B3FCA17">
      <w:pPr>
        <w:numPr>
          <w:ilvl w:val="0"/>
          <w:numId w:val="0"/>
        </w:numPr>
        <w:spacing w:beforeLines="50" w:afterLines="50" w:line="360" w:lineRule="auto"/>
        <w:jc w:val="both"/>
        <w:outlineLvl w:val="0"/>
        <w:rPr>
          <w:rFonts w:hint="default" w:ascii="Times New Roman" w:hAnsi="Times New Roman" w:eastAsia="仿宋" w:cs="Times New Roman"/>
          <w:b/>
          <w:bCs/>
          <w:color w:val="auto"/>
          <w:sz w:val="32"/>
          <w:szCs w:val="32"/>
          <w:lang w:val="en-US" w:eastAsia="zh-CN"/>
        </w:rPr>
      </w:pPr>
      <w:r>
        <w:rPr>
          <w:rFonts w:hint="default" w:ascii="Times New Roman" w:hAnsi="Times New Roman" w:eastAsia="仿宋" w:cs="Times New Roman"/>
          <w:b/>
          <w:bCs/>
          <w:color w:val="auto"/>
          <w:sz w:val="32"/>
          <w:szCs w:val="32"/>
          <w:lang w:val="en-US" w:eastAsia="zh-CN"/>
        </w:rPr>
        <w:t>三、项目投资估算与资金筹措方案</w:t>
      </w:r>
      <w:bookmarkEnd w:id="45"/>
    </w:p>
    <w:p w14:paraId="08ECC9F2">
      <w:pPr>
        <w:spacing w:beforeLines="50" w:afterLines="50" w:line="360" w:lineRule="auto"/>
        <w:outlineLvl w:val="1"/>
        <w:rPr>
          <w:rFonts w:hint="default" w:ascii="Times New Roman" w:hAnsi="Times New Roman" w:eastAsia="仿宋" w:cs="Times New Roman"/>
          <w:b/>
          <w:bCs/>
          <w:color w:val="auto"/>
          <w:sz w:val="32"/>
          <w:szCs w:val="32"/>
        </w:rPr>
      </w:pPr>
      <w:bookmarkStart w:id="46" w:name="_Toc1720145"/>
      <w:bookmarkStart w:id="47" w:name="_Toc533440335"/>
      <w:bookmarkStart w:id="48" w:name="_Toc523157062"/>
      <w:bookmarkStart w:id="49" w:name="_Toc523481542"/>
      <w:bookmarkStart w:id="50" w:name="_Toc5108"/>
      <w:bookmarkStart w:id="51" w:name="_Toc522211078"/>
      <w:r>
        <w:rPr>
          <w:rFonts w:hint="default" w:ascii="Times New Roman" w:hAnsi="Times New Roman" w:eastAsia="仿宋" w:cs="Times New Roman"/>
          <w:b/>
          <w:bCs/>
          <w:color w:val="auto"/>
          <w:sz w:val="32"/>
          <w:szCs w:val="32"/>
        </w:rPr>
        <w:t>（一）投资估算</w:t>
      </w:r>
      <w:bookmarkEnd w:id="46"/>
      <w:bookmarkEnd w:id="47"/>
      <w:bookmarkEnd w:id="48"/>
      <w:bookmarkEnd w:id="49"/>
      <w:bookmarkEnd w:id="50"/>
      <w:bookmarkEnd w:id="51"/>
    </w:p>
    <w:p w14:paraId="395F27E9">
      <w:pPr>
        <w:spacing w:beforeLines="50" w:afterLines="50" w:line="360" w:lineRule="auto"/>
        <w:ind w:firstLine="560" w:firstLineChars="200"/>
        <w:outlineLvl w:val="9"/>
        <w:rPr>
          <w:rFonts w:hint="default" w:ascii="Times New Roman" w:hAnsi="Times New Roman" w:eastAsia="仿宋" w:cs="Times New Roman"/>
          <w:color w:val="auto"/>
          <w:sz w:val="28"/>
          <w:szCs w:val="28"/>
        </w:rPr>
      </w:pPr>
      <w:bookmarkStart w:id="52" w:name="_Toc23109"/>
      <w:r>
        <w:rPr>
          <w:rFonts w:hint="default" w:ascii="Times New Roman" w:hAnsi="Times New Roman" w:eastAsia="仿宋" w:cs="Times New Roman"/>
          <w:color w:val="auto"/>
          <w:sz w:val="28"/>
          <w:szCs w:val="28"/>
          <w:lang w:val="en-US" w:eastAsia="zh-CN"/>
        </w:rPr>
        <w:t>本项目投资总额为121000.00万元，静态总投资为115194.00万元，占项目总投资的95.20%。其中，工程费用99271.32万元，占项目总投资的82.04%；工程建设其他费用10560.63万元，占项目总投资的8.73%；预备费5362.05万元，占项目总投资的4.43%。建设期利息5712.00万元，占项目总投资的4.72%；债券发行费用94.00万元，占项目总投资的0.08%</w:t>
      </w:r>
      <w:r>
        <w:rPr>
          <w:rFonts w:hint="default" w:ascii="Times New Roman" w:hAnsi="Times New Roman" w:eastAsia="仿宋" w:cs="Times New Roman"/>
          <w:color w:val="auto"/>
          <w:sz w:val="28"/>
          <w:szCs w:val="28"/>
        </w:rPr>
        <w:t>。</w:t>
      </w:r>
    </w:p>
    <w:p w14:paraId="1FBBFC23">
      <w:pPr>
        <w:spacing w:beforeLines="50" w:afterLines="50" w:line="360" w:lineRule="auto"/>
        <w:outlineLvl w:val="1"/>
        <w:rPr>
          <w:rFonts w:hint="default" w:ascii="Times New Roman" w:hAnsi="Times New Roman" w:eastAsia="仿宋" w:cs="Times New Roman"/>
          <w:b/>
          <w:bCs/>
          <w:color w:val="auto"/>
          <w:sz w:val="32"/>
          <w:szCs w:val="32"/>
        </w:rPr>
      </w:pPr>
      <w:r>
        <w:rPr>
          <w:rFonts w:hint="default" w:ascii="Times New Roman" w:hAnsi="Times New Roman" w:eastAsia="仿宋" w:cs="Times New Roman"/>
          <w:b/>
          <w:bCs/>
          <w:color w:val="auto"/>
          <w:sz w:val="32"/>
          <w:szCs w:val="32"/>
        </w:rPr>
        <w:t>（二）资金筹措方案</w:t>
      </w:r>
      <w:bookmarkEnd w:id="52"/>
    </w:p>
    <w:p w14:paraId="120D2EBD">
      <w:pPr>
        <w:numPr>
          <w:ilvl w:val="2"/>
          <w:numId w:val="0"/>
        </w:numPr>
        <w:spacing w:before="240" w:after="120"/>
        <w:ind w:firstLine="643" w:firstLineChars="200"/>
        <w:outlineLvl w:val="2"/>
        <w:rPr>
          <w:rFonts w:hint="default" w:ascii="Times New Roman" w:hAnsi="Times New Roman" w:eastAsia="仿宋" w:cs="Times New Roman"/>
          <w:b/>
          <w:bCs/>
          <w:color w:val="auto"/>
          <w:sz w:val="32"/>
          <w:szCs w:val="32"/>
        </w:rPr>
      </w:pPr>
      <w:bookmarkStart w:id="53" w:name="_Toc1720150"/>
      <w:bookmarkStart w:id="54" w:name="_Toc523157067"/>
      <w:bookmarkStart w:id="55" w:name="_Toc20821"/>
      <w:bookmarkStart w:id="56" w:name="_Toc522211083"/>
      <w:bookmarkStart w:id="57" w:name="_Toc19703"/>
      <w:bookmarkStart w:id="58" w:name="_Toc533440340"/>
      <w:bookmarkStart w:id="59" w:name="_Toc523481547"/>
      <w:r>
        <w:rPr>
          <w:rFonts w:hint="default" w:ascii="Times New Roman" w:hAnsi="Times New Roman" w:eastAsia="仿宋" w:cs="Times New Roman"/>
          <w:b/>
          <w:bCs/>
          <w:color w:val="auto"/>
          <w:sz w:val="32"/>
          <w:szCs w:val="32"/>
        </w:rPr>
        <w:t>1.资金来源</w:t>
      </w:r>
      <w:bookmarkEnd w:id="53"/>
      <w:bookmarkEnd w:id="54"/>
      <w:bookmarkEnd w:id="55"/>
      <w:bookmarkEnd w:id="56"/>
      <w:bookmarkEnd w:id="57"/>
      <w:bookmarkEnd w:id="58"/>
      <w:bookmarkEnd w:id="59"/>
    </w:p>
    <w:p w14:paraId="21A24EA7">
      <w:pPr>
        <w:spacing w:beforeLines="50" w:afterLines="50" w:line="360" w:lineRule="auto"/>
        <w:ind w:firstLine="560" w:firstLineChars="200"/>
        <w:jc w:val="both"/>
        <w:outlineLvl w:val="9"/>
        <w:rPr>
          <w:rFonts w:hint="default" w:ascii="Times New Roman" w:hAnsi="Times New Roman" w:eastAsia="仿宋" w:cs="Times New Roman"/>
          <w:color w:val="auto"/>
          <w:kern w:val="2"/>
          <w:sz w:val="28"/>
          <w:szCs w:val="28"/>
          <w:lang w:val="en-US" w:eastAsia="zh-CN"/>
        </w:rPr>
      </w:pPr>
      <w:r>
        <w:rPr>
          <w:rFonts w:hint="default" w:ascii="Times New Roman" w:hAnsi="Times New Roman" w:eastAsia="仿宋" w:cs="Times New Roman"/>
          <w:color w:val="auto"/>
          <w:kern w:val="2"/>
          <w:sz w:val="28"/>
          <w:szCs w:val="28"/>
          <w:lang w:val="en-US" w:eastAsia="zh-CN"/>
        </w:rPr>
        <w:t>本项目资本金来源：资本金均来源于财政资金，项目资本金27000.00万元，占项目总投资的22.31%。</w:t>
      </w:r>
    </w:p>
    <w:p w14:paraId="50CF358D">
      <w:pPr>
        <w:spacing w:beforeLines="50" w:afterLines="50" w:line="360" w:lineRule="auto"/>
        <w:ind w:firstLine="560" w:firstLineChars="200"/>
        <w:jc w:val="both"/>
        <w:outlineLvl w:val="9"/>
        <w:rPr>
          <w:rFonts w:hint="default" w:ascii="Times New Roman" w:hAnsi="Times New Roman" w:eastAsia="仿宋" w:cs="Times New Roman"/>
          <w:color w:val="auto"/>
          <w:kern w:val="2"/>
          <w:sz w:val="28"/>
          <w:szCs w:val="28"/>
          <w:lang w:val="en-US" w:eastAsia="zh-CN"/>
        </w:rPr>
      </w:pPr>
      <w:r>
        <w:rPr>
          <w:rFonts w:hint="default" w:ascii="Times New Roman" w:hAnsi="Times New Roman" w:eastAsia="仿宋" w:cs="Times New Roman"/>
          <w:color w:val="auto"/>
          <w:kern w:val="2"/>
          <w:sz w:val="28"/>
          <w:szCs w:val="28"/>
          <w:lang w:val="en-US" w:eastAsia="zh-CN"/>
        </w:rPr>
        <w:t>融资来源：本项目拟发行专项债券总额94000.00万元，占总投资比例为77.69%，其中：第1年申请发行专项债券40000.00万元，第2年申请发行专项债券30000.00万元，第3年申请发行专项债券24000.00万元，债券利率按2.80%测算，发行年限30年，发行费用为面值的1‰。</w:t>
      </w:r>
    </w:p>
    <w:p w14:paraId="21FB05CB">
      <w:pPr>
        <w:numPr>
          <w:ilvl w:val="0"/>
          <w:numId w:val="0"/>
        </w:numPr>
        <w:spacing w:before="240" w:after="120"/>
        <w:ind w:leftChars="0" w:firstLine="643" w:firstLineChars="200"/>
        <w:outlineLvl w:val="2"/>
        <w:rPr>
          <w:rFonts w:hint="default" w:ascii="Times New Roman" w:hAnsi="Times New Roman" w:eastAsia="仿宋" w:cs="Times New Roman"/>
          <w:b/>
          <w:bCs/>
          <w:color w:val="auto"/>
          <w:sz w:val="32"/>
          <w:szCs w:val="32"/>
        </w:rPr>
      </w:pPr>
      <w:bookmarkStart w:id="60" w:name="_Toc533440342"/>
      <w:bookmarkStart w:id="61" w:name="_Toc25776"/>
      <w:bookmarkStart w:id="62" w:name="_Toc523157069"/>
      <w:bookmarkStart w:id="63" w:name="_Toc523481549"/>
      <w:bookmarkStart w:id="64" w:name="_Toc1720152"/>
      <w:r>
        <w:rPr>
          <w:rFonts w:hint="default" w:ascii="Times New Roman" w:hAnsi="Times New Roman" w:eastAsia="仿宋" w:cs="Times New Roman"/>
          <w:b/>
          <w:bCs/>
          <w:color w:val="auto"/>
          <w:sz w:val="32"/>
          <w:szCs w:val="32"/>
          <w:lang w:val="en-US" w:eastAsia="zh-CN"/>
        </w:rPr>
        <w:t>2.</w:t>
      </w:r>
      <w:r>
        <w:rPr>
          <w:rFonts w:hint="default" w:ascii="Times New Roman" w:hAnsi="Times New Roman" w:eastAsia="仿宋" w:cs="Times New Roman"/>
          <w:b/>
          <w:bCs/>
          <w:color w:val="auto"/>
          <w:sz w:val="32"/>
          <w:szCs w:val="32"/>
        </w:rPr>
        <w:t>资金使用计划</w:t>
      </w:r>
      <w:bookmarkEnd w:id="60"/>
      <w:bookmarkEnd w:id="61"/>
      <w:bookmarkEnd w:id="62"/>
      <w:bookmarkEnd w:id="63"/>
      <w:bookmarkEnd w:id="64"/>
    </w:p>
    <w:p w14:paraId="42368701">
      <w:pPr>
        <w:spacing w:beforeLines="50" w:afterLines="50" w:line="360" w:lineRule="auto"/>
        <w:ind w:firstLine="560" w:firstLineChars="200"/>
        <w:jc w:val="both"/>
        <w:outlineLvl w:val="9"/>
        <w:rPr>
          <w:rFonts w:hint="default" w:ascii="Times New Roman" w:hAnsi="Times New Roman" w:eastAsia="仿宋" w:cs="Times New Roman"/>
          <w:color w:val="auto"/>
          <w:kern w:val="2"/>
          <w:sz w:val="28"/>
          <w:szCs w:val="28"/>
          <w:lang w:val="en-US" w:eastAsia="zh-CN"/>
        </w:rPr>
      </w:pPr>
      <w:bookmarkStart w:id="65" w:name="_Toc9196"/>
      <w:r>
        <w:rPr>
          <w:rFonts w:hint="default" w:ascii="Times New Roman" w:hAnsi="Times New Roman" w:eastAsia="仿宋" w:cs="Times New Roman"/>
          <w:color w:val="auto"/>
          <w:kern w:val="2"/>
          <w:sz w:val="28"/>
          <w:szCs w:val="28"/>
        </w:rPr>
        <w:t>项目所筹资金将根据项目实施计划和实时建设进度来进行合理分配，且将全部投资于本项目，具体数额应当根据进度支出。在保证项目工程投资资金充足的情况下，充分利用且不浪费当年度专项债券融资额度。</w:t>
      </w:r>
    </w:p>
    <w:p w14:paraId="2E585AE8">
      <w:pPr>
        <w:spacing w:beforeLines="50" w:afterLines="50" w:line="360" w:lineRule="auto"/>
        <w:jc w:val="both"/>
        <w:outlineLvl w:val="0"/>
        <w:rPr>
          <w:rFonts w:hint="default" w:ascii="Times New Roman" w:hAnsi="Times New Roman" w:eastAsia="仿宋" w:cs="Times New Roman"/>
          <w:b/>
          <w:bCs/>
          <w:color w:val="auto"/>
          <w:sz w:val="32"/>
          <w:szCs w:val="32"/>
        </w:rPr>
      </w:pPr>
      <w:r>
        <w:rPr>
          <w:rFonts w:hint="default" w:ascii="Times New Roman" w:hAnsi="Times New Roman" w:eastAsia="仿宋" w:cs="Times New Roman"/>
          <w:b/>
          <w:bCs/>
          <w:color w:val="auto"/>
          <w:sz w:val="32"/>
          <w:szCs w:val="32"/>
        </w:rPr>
        <w:t>四、项目预期收益、成本及融资平衡情况</w:t>
      </w:r>
      <w:bookmarkEnd w:id="65"/>
    </w:p>
    <w:p w14:paraId="75D94733">
      <w:pPr>
        <w:spacing w:beforeLines="50" w:afterLines="50" w:line="360" w:lineRule="auto"/>
        <w:outlineLvl w:val="1"/>
        <w:rPr>
          <w:rFonts w:hint="default" w:ascii="Times New Roman" w:hAnsi="Times New Roman" w:eastAsia="仿宋" w:cs="Times New Roman"/>
          <w:b/>
          <w:bCs/>
          <w:color w:val="auto"/>
          <w:sz w:val="32"/>
          <w:szCs w:val="32"/>
        </w:rPr>
      </w:pPr>
      <w:bookmarkStart w:id="66" w:name="_Toc533440345"/>
      <w:bookmarkStart w:id="67" w:name="_Toc523157072"/>
      <w:bookmarkStart w:id="68" w:name="_Toc522211088"/>
      <w:bookmarkStart w:id="69" w:name="_Toc27170"/>
      <w:bookmarkStart w:id="70" w:name="_Toc523481552"/>
      <w:bookmarkStart w:id="71" w:name="_Toc1720155"/>
      <w:r>
        <w:rPr>
          <w:rFonts w:hint="default" w:ascii="Times New Roman" w:hAnsi="Times New Roman" w:eastAsia="仿宋" w:cs="Times New Roman"/>
          <w:b/>
          <w:bCs/>
          <w:color w:val="auto"/>
          <w:sz w:val="32"/>
          <w:szCs w:val="32"/>
          <w:lang w:eastAsia="zh-CN"/>
        </w:rPr>
        <w:t>（</w:t>
      </w:r>
      <w:r>
        <w:rPr>
          <w:rFonts w:hint="default" w:ascii="Times New Roman" w:hAnsi="Times New Roman" w:eastAsia="仿宋" w:cs="Times New Roman"/>
          <w:b/>
          <w:bCs/>
          <w:color w:val="auto"/>
          <w:sz w:val="32"/>
          <w:szCs w:val="32"/>
          <w:lang w:val="en-US" w:eastAsia="zh-CN"/>
        </w:rPr>
        <w:t>一</w:t>
      </w:r>
      <w:r>
        <w:rPr>
          <w:rFonts w:hint="default" w:ascii="Times New Roman" w:hAnsi="Times New Roman" w:eastAsia="仿宋" w:cs="Times New Roman"/>
          <w:b/>
          <w:bCs/>
          <w:color w:val="auto"/>
          <w:sz w:val="32"/>
          <w:szCs w:val="32"/>
          <w:lang w:eastAsia="zh-CN"/>
        </w:rPr>
        <w:t>）</w:t>
      </w:r>
      <w:r>
        <w:rPr>
          <w:rFonts w:hint="default" w:ascii="Times New Roman" w:hAnsi="Times New Roman" w:eastAsia="仿宋" w:cs="Times New Roman"/>
          <w:b/>
          <w:bCs/>
          <w:color w:val="auto"/>
          <w:sz w:val="32"/>
          <w:szCs w:val="32"/>
        </w:rPr>
        <w:t>预期收益</w:t>
      </w:r>
      <w:bookmarkEnd w:id="66"/>
      <w:bookmarkEnd w:id="67"/>
      <w:bookmarkEnd w:id="68"/>
      <w:bookmarkEnd w:id="69"/>
      <w:bookmarkEnd w:id="70"/>
      <w:bookmarkEnd w:id="71"/>
    </w:p>
    <w:p w14:paraId="64765AF6">
      <w:pPr>
        <w:spacing w:beforeLines="50" w:afterLines="50" w:line="360" w:lineRule="auto"/>
        <w:ind w:firstLine="643" w:firstLineChars="200"/>
        <w:outlineLvl w:val="2"/>
        <w:rPr>
          <w:rFonts w:hint="default" w:ascii="Times New Roman" w:hAnsi="Times New Roman" w:eastAsia="仿宋" w:cs="Times New Roman"/>
          <w:b/>
          <w:bCs/>
          <w:color w:val="auto"/>
          <w:sz w:val="32"/>
          <w:szCs w:val="32"/>
          <w:lang w:val="en-US" w:eastAsia="zh-CN"/>
        </w:rPr>
      </w:pPr>
      <w:r>
        <w:rPr>
          <w:rFonts w:hint="default" w:ascii="Times New Roman" w:hAnsi="Times New Roman" w:eastAsia="仿宋" w:cs="Times New Roman"/>
          <w:b/>
          <w:bCs/>
          <w:color w:val="auto"/>
          <w:sz w:val="32"/>
          <w:szCs w:val="32"/>
          <w:lang w:val="en-US" w:eastAsia="zh-CN"/>
        </w:rPr>
        <w:t>1.项目收入预测</w:t>
      </w:r>
    </w:p>
    <w:p w14:paraId="22095FDF">
      <w:pPr>
        <w:spacing w:beforeLines="50" w:afterLines="50" w:line="360" w:lineRule="auto"/>
        <w:ind w:firstLine="562" w:firstLineChars="200"/>
        <w:jc w:val="both"/>
        <w:outlineLvl w:val="9"/>
        <w:rPr>
          <w:rStyle w:val="29"/>
          <w:rFonts w:hint="default" w:ascii="Times New Roman" w:hAnsi="Times New Roman" w:eastAsia="仿宋" w:cs="Times New Roman"/>
          <w:b/>
          <w:bCs/>
          <w:caps w:val="0"/>
          <w:color w:val="auto"/>
          <w:kern w:val="0"/>
          <w:sz w:val="28"/>
          <w:szCs w:val="28"/>
          <w:lang w:val="en-US" w:eastAsia="zh-CN" w:bidi="ar-SA"/>
        </w:rPr>
      </w:pPr>
      <w:r>
        <w:rPr>
          <w:rStyle w:val="29"/>
          <w:rFonts w:hint="default" w:ascii="Times New Roman" w:hAnsi="Times New Roman" w:cs="Times New Roman"/>
          <w:b/>
          <w:bCs/>
          <w:color w:val="auto"/>
          <w:lang w:val="en-US" w:eastAsia="zh-CN"/>
        </w:rPr>
        <w:t>本项目收入来源</w:t>
      </w:r>
      <w:r>
        <w:rPr>
          <w:rStyle w:val="29"/>
          <w:rFonts w:hint="default" w:ascii="Times New Roman" w:hAnsi="Times New Roman" w:cs="Times New Roman"/>
          <w:color w:val="auto"/>
          <w:lang w:val="en-US" w:eastAsia="zh-CN"/>
        </w:rPr>
        <w:t>：</w:t>
      </w:r>
      <w:r>
        <w:rPr>
          <w:rStyle w:val="29"/>
          <w:rFonts w:hint="eastAsia" w:ascii="Times New Roman" w:hAnsi="Times New Roman" w:cs="Times New Roman"/>
          <w:color w:val="auto"/>
          <w:lang w:val="en-US" w:eastAsia="zh-CN"/>
        </w:rPr>
        <w:t>厂房出租收入、厂房出售收入、停车费收入、充电服务收入、灯杆广告位出租收入</w:t>
      </w:r>
      <w:r>
        <w:rPr>
          <w:rStyle w:val="29"/>
          <w:rFonts w:hint="default" w:ascii="Times New Roman" w:hAnsi="Times New Roman" w:cs="Times New Roman"/>
          <w:color w:val="auto"/>
          <w:lang w:val="en-US" w:eastAsia="zh-CN"/>
        </w:rPr>
        <w:t>。</w:t>
      </w:r>
    </w:p>
    <w:p w14:paraId="2C3A7916">
      <w:pPr>
        <w:pStyle w:val="25"/>
        <w:bidi w:val="0"/>
        <w:outlineLvl w:val="9"/>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根据以上分析结果对本项目债券期限内项目收入进行估算，经保守测算，计算期内预计项目总收入为</w:t>
      </w:r>
      <w:r>
        <w:rPr>
          <w:rFonts w:hint="eastAsia" w:cs="Times New Roman"/>
          <w:color w:val="auto"/>
          <w:lang w:val="en-US" w:eastAsia="zh-CN"/>
        </w:rPr>
        <w:t>263776.67万元</w:t>
      </w:r>
      <w:r>
        <w:rPr>
          <w:rFonts w:hint="default" w:ascii="Times New Roman" w:hAnsi="Times New Roman" w:cs="Times New Roman"/>
          <w:color w:val="auto"/>
          <w:lang w:val="en-US" w:eastAsia="zh-CN"/>
        </w:rPr>
        <w:t>。</w:t>
      </w:r>
    </w:p>
    <w:p w14:paraId="767E24BE">
      <w:pPr>
        <w:spacing w:beforeLines="50" w:afterLines="50" w:line="360" w:lineRule="auto"/>
        <w:ind w:firstLine="643" w:firstLineChars="200"/>
        <w:outlineLvl w:val="2"/>
        <w:rPr>
          <w:rFonts w:hint="default" w:ascii="Times New Roman" w:hAnsi="Times New Roman" w:eastAsia="仿宋" w:cs="Times New Roman"/>
          <w:b/>
          <w:bCs/>
          <w:color w:val="auto"/>
          <w:sz w:val="32"/>
          <w:szCs w:val="32"/>
          <w:lang w:val="en-US" w:eastAsia="zh-CN"/>
        </w:rPr>
      </w:pPr>
      <w:r>
        <w:rPr>
          <w:rFonts w:hint="default" w:ascii="Times New Roman" w:hAnsi="Times New Roman" w:eastAsia="仿宋" w:cs="Times New Roman"/>
          <w:b/>
          <w:bCs/>
          <w:color w:val="auto"/>
          <w:sz w:val="32"/>
          <w:szCs w:val="32"/>
          <w:lang w:val="en-US" w:eastAsia="zh-CN"/>
        </w:rPr>
        <w:t>2.成本预测</w:t>
      </w:r>
    </w:p>
    <w:p w14:paraId="5A39013E">
      <w:pPr>
        <w:spacing w:beforeLines="50" w:afterLines="50" w:line="360" w:lineRule="auto"/>
        <w:ind w:firstLine="560" w:firstLineChars="200"/>
        <w:outlineLvl w:val="9"/>
        <w:rPr>
          <w:rFonts w:hint="default" w:ascii="Times New Roman" w:hAnsi="Times New Roman" w:eastAsia="仿宋" w:cs="Times New Roman"/>
          <w:color w:val="auto"/>
          <w:sz w:val="28"/>
          <w:szCs w:val="28"/>
          <w:lang w:val="en-US" w:eastAsia="zh-CN"/>
        </w:rPr>
      </w:pPr>
      <w:bookmarkStart w:id="72" w:name="_Toc373"/>
      <w:r>
        <w:rPr>
          <w:rFonts w:hint="default" w:ascii="Times New Roman" w:hAnsi="Times New Roman" w:eastAsia="仿宋" w:cs="Times New Roman"/>
          <w:color w:val="auto"/>
          <w:sz w:val="28"/>
          <w:szCs w:val="28"/>
          <w:lang w:val="en-US" w:eastAsia="zh-CN"/>
        </w:rPr>
        <w:t>本项目成本包括经营成本（工资及福利费（包括人员工资、社保、管理人员公积金等）、外购原材料、燃料及动力费（一般为电费、水费等）、维修费、管理费用等）、折旧摊销费、财务费用、相关税费。经计算可知，本项目预测期经营成本、折旧摊销、财务费用、相关税费合计为</w:t>
      </w:r>
      <w:r>
        <w:rPr>
          <w:rFonts w:hint="eastAsia" w:ascii="Times New Roman" w:hAnsi="Times New Roman" w:eastAsia="仿宋" w:cs="Times New Roman"/>
          <w:color w:val="auto"/>
          <w:sz w:val="28"/>
          <w:szCs w:val="28"/>
          <w:lang w:val="en-US" w:eastAsia="zh-CN"/>
        </w:rPr>
        <w:t>233607.90万元</w:t>
      </w:r>
      <w:r>
        <w:rPr>
          <w:rFonts w:hint="default" w:ascii="Times New Roman" w:hAnsi="Times New Roman" w:eastAsia="仿宋" w:cs="Times New Roman"/>
          <w:color w:val="auto"/>
          <w:sz w:val="28"/>
          <w:szCs w:val="28"/>
          <w:lang w:val="en-US" w:eastAsia="zh-CN"/>
        </w:rPr>
        <w:t>。</w:t>
      </w:r>
    </w:p>
    <w:p w14:paraId="325B9D53">
      <w:pPr>
        <w:spacing w:beforeLines="50" w:afterLines="50" w:line="360" w:lineRule="auto"/>
        <w:ind w:firstLine="643" w:firstLineChars="200"/>
        <w:outlineLvl w:val="2"/>
        <w:rPr>
          <w:rFonts w:hint="default" w:ascii="Times New Roman" w:hAnsi="Times New Roman" w:eastAsia="仿宋" w:cs="Times New Roman"/>
          <w:b/>
          <w:bCs/>
          <w:color w:val="auto"/>
          <w:sz w:val="32"/>
          <w:szCs w:val="32"/>
          <w:lang w:val="en-US" w:eastAsia="zh-CN"/>
        </w:rPr>
      </w:pPr>
      <w:r>
        <w:rPr>
          <w:rFonts w:hint="default" w:ascii="Times New Roman" w:hAnsi="Times New Roman" w:eastAsia="仿宋" w:cs="Times New Roman"/>
          <w:b/>
          <w:bCs/>
          <w:color w:val="auto"/>
          <w:sz w:val="32"/>
          <w:szCs w:val="32"/>
          <w:lang w:val="en-US" w:eastAsia="zh-CN"/>
        </w:rPr>
        <w:t>3.项目损益</w:t>
      </w:r>
      <w:bookmarkEnd w:id="72"/>
    </w:p>
    <w:p w14:paraId="25DFF918">
      <w:pPr>
        <w:spacing w:beforeLines="50" w:afterLines="50" w:line="360" w:lineRule="auto"/>
        <w:ind w:firstLine="560" w:firstLineChars="200"/>
        <w:outlineLvl w:val="9"/>
        <w:rPr>
          <w:rFonts w:hint="default" w:ascii="Times New Roman" w:hAnsi="Times New Roman" w:eastAsia="仿宋" w:cs="Times New Roman"/>
          <w:color w:val="auto"/>
          <w:kern w:val="2"/>
          <w:sz w:val="28"/>
          <w:szCs w:val="28"/>
          <w:lang w:val="en-US" w:eastAsia="zh-CN" w:bidi="ar-SA"/>
        </w:rPr>
      </w:pPr>
      <w:r>
        <w:rPr>
          <w:rFonts w:hint="default" w:ascii="Times New Roman" w:hAnsi="Times New Roman" w:eastAsia="仿宋" w:cs="Times New Roman"/>
          <w:color w:val="auto"/>
          <w:kern w:val="2"/>
          <w:sz w:val="28"/>
          <w:szCs w:val="28"/>
          <w:lang w:val="en-US" w:eastAsia="zh-CN" w:bidi="ar-SA"/>
        </w:rPr>
        <w:t>企业所得税率：15%。制造业是立国之本、强国之基，是实体经济的重要组成部分。2024年，经国务院同意，国家发展改革委修订出台《西部地区鼓励类产业目录（2025年本）》，自2025年1月1日起施行。《目录》指出对西部地区从事鼓励类产业的企业减按15%的税率征收企业所得税，其中：针对四川省提出以下产业享受政策：</w:t>
      </w:r>
    </w:p>
    <w:p w14:paraId="6C8D9824">
      <w:pPr>
        <w:spacing w:beforeLines="50" w:afterLines="50" w:line="360" w:lineRule="auto"/>
        <w:ind w:firstLine="560" w:firstLineChars="200"/>
        <w:outlineLvl w:val="9"/>
        <w:rPr>
          <w:rFonts w:hint="default" w:ascii="Times New Roman" w:hAnsi="Times New Roman" w:eastAsia="仿宋" w:cs="Times New Roman"/>
          <w:color w:val="auto"/>
          <w:kern w:val="2"/>
          <w:sz w:val="28"/>
          <w:szCs w:val="28"/>
          <w:lang w:val="en-US" w:eastAsia="zh-CN" w:bidi="ar-SA"/>
        </w:rPr>
      </w:pPr>
      <w:r>
        <w:rPr>
          <w:rFonts w:hint="default" w:ascii="Times New Roman" w:hAnsi="Times New Roman" w:eastAsia="仿宋" w:cs="Times New Roman"/>
          <w:color w:val="auto"/>
          <w:kern w:val="2"/>
          <w:sz w:val="28"/>
          <w:szCs w:val="28"/>
          <w:lang w:val="en-US" w:eastAsia="zh-CN" w:bidi="ar-SA"/>
        </w:rPr>
        <w:t>7.火锅底料、火锅用调味料、火锅生鲜净菜及熟食半成品、火锅器皿的生产加工；</w:t>
      </w:r>
    </w:p>
    <w:p w14:paraId="701D3D1E">
      <w:pPr>
        <w:spacing w:beforeLines="50" w:afterLines="50" w:line="360" w:lineRule="auto"/>
        <w:ind w:firstLine="560" w:firstLineChars="200"/>
        <w:outlineLvl w:val="9"/>
        <w:rPr>
          <w:rFonts w:hint="default" w:ascii="Times New Roman" w:hAnsi="Times New Roman" w:eastAsia="仿宋" w:cs="Times New Roman"/>
          <w:color w:val="auto"/>
          <w:kern w:val="2"/>
          <w:sz w:val="28"/>
          <w:szCs w:val="28"/>
          <w:lang w:val="en-US" w:eastAsia="zh-CN" w:bidi="ar-SA"/>
        </w:rPr>
      </w:pPr>
      <w:r>
        <w:rPr>
          <w:rFonts w:hint="default" w:ascii="Times New Roman" w:hAnsi="Times New Roman" w:eastAsia="仿宋" w:cs="Times New Roman"/>
          <w:color w:val="auto"/>
          <w:kern w:val="2"/>
          <w:sz w:val="28"/>
          <w:szCs w:val="28"/>
          <w:lang w:val="en-US" w:eastAsia="zh-CN" w:bidi="ar-SA"/>
        </w:rPr>
        <w:t>8.数字化、智能化、绿色化纺织鞋服加工；</w:t>
      </w:r>
    </w:p>
    <w:p w14:paraId="101C1C42">
      <w:pPr>
        <w:spacing w:beforeLines="50" w:afterLines="50" w:line="360" w:lineRule="auto"/>
        <w:ind w:firstLine="560" w:firstLineChars="200"/>
        <w:outlineLvl w:val="9"/>
        <w:rPr>
          <w:rFonts w:hint="default" w:ascii="Times New Roman" w:hAnsi="Times New Roman" w:eastAsia="仿宋" w:cs="Times New Roman"/>
          <w:color w:val="auto"/>
          <w:kern w:val="2"/>
          <w:sz w:val="28"/>
          <w:szCs w:val="28"/>
          <w:lang w:val="en-US" w:eastAsia="zh-CN" w:bidi="ar-SA"/>
        </w:rPr>
      </w:pPr>
      <w:r>
        <w:rPr>
          <w:rFonts w:hint="default" w:ascii="Times New Roman" w:hAnsi="Times New Roman" w:eastAsia="仿宋" w:cs="Times New Roman"/>
          <w:color w:val="auto"/>
          <w:kern w:val="2"/>
          <w:sz w:val="28"/>
          <w:szCs w:val="28"/>
          <w:lang w:val="en-US" w:eastAsia="zh-CN" w:bidi="ar-SA"/>
        </w:rPr>
        <w:t>14.医疗机构中药制剂研发生产；</w:t>
      </w:r>
    </w:p>
    <w:p w14:paraId="3D47C8AD">
      <w:pPr>
        <w:spacing w:beforeLines="50" w:afterLines="50" w:line="360" w:lineRule="auto"/>
        <w:ind w:firstLine="560" w:firstLineChars="200"/>
        <w:outlineLvl w:val="9"/>
        <w:rPr>
          <w:rFonts w:hint="default" w:ascii="Times New Roman" w:hAnsi="Times New Roman" w:eastAsia="仿宋" w:cs="Times New Roman"/>
          <w:color w:val="auto"/>
          <w:kern w:val="2"/>
          <w:sz w:val="28"/>
          <w:szCs w:val="28"/>
          <w:lang w:val="en-US" w:eastAsia="zh-CN" w:bidi="ar-SA"/>
        </w:rPr>
      </w:pPr>
      <w:r>
        <w:rPr>
          <w:rFonts w:hint="default" w:ascii="Times New Roman" w:hAnsi="Times New Roman" w:eastAsia="仿宋" w:cs="Times New Roman"/>
          <w:color w:val="auto"/>
          <w:kern w:val="2"/>
          <w:sz w:val="28"/>
          <w:szCs w:val="28"/>
          <w:lang w:val="en-US" w:eastAsia="zh-CN" w:bidi="ar-SA"/>
        </w:rPr>
        <w:t>本项目位于四川大邑经济开发区，是“省级经开区”。园区分区并结合园区的自然特征及道路特点，规划结构为“一区三园”的布局结构（即智能设备与终端产业园、成都高新西岭科技产业园、绿色健康食品产业园）。因此，本项目按15%计取企业所得税。</w:t>
      </w:r>
    </w:p>
    <w:p w14:paraId="0A9CE3AD">
      <w:pPr>
        <w:spacing w:beforeLines="50" w:afterLines="50" w:line="360" w:lineRule="auto"/>
        <w:ind w:firstLine="560" w:firstLineChars="200"/>
        <w:outlineLvl w:val="9"/>
        <w:rPr>
          <w:rFonts w:hint="default" w:ascii="Times New Roman" w:hAnsi="Times New Roman" w:eastAsia="仿宋" w:cs="Times New Roman"/>
          <w:color w:val="auto"/>
          <w:kern w:val="2"/>
          <w:sz w:val="28"/>
          <w:szCs w:val="28"/>
          <w:lang w:val="en-US" w:eastAsia="zh-CN" w:bidi="ar-SA"/>
        </w:rPr>
      </w:pPr>
      <w:r>
        <w:rPr>
          <w:rFonts w:hint="default" w:ascii="Times New Roman" w:hAnsi="Times New Roman" w:eastAsia="仿宋" w:cs="Times New Roman"/>
          <w:color w:val="auto"/>
          <w:kern w:val="2"/>
          <w:sz w:val="28"/>
          <w:szCs w:val="28"/>
          <w:lang w:val="en-US" w:eastAsia="zh-CN" w:bidi="ar-SA"/>
        </w:rPr>
        <w:t>综合上述专项收入、经营成本费用的估算，本项目在债券存续期内运营总收入预计为263776.67万元，总成本预计为233607.90万元，累计净利润为22872.54万元，本项目收入可偿债息前净现金流为207450.47万元，专项债券融资到期本息合计172960.00万元，本项目收益覆盖倍数为1.20倍。</w:t>
      </w:r>
    </w:p>
    <w:p w14:paraId="7721BF0E">
      <w:pPr>
        <w:spacing w:beforeLines="50" w:afterLines="50" w:line="360" w:lineRule="auto"/>
        <w:outlineLvl w:val="1"/>
        <w:rPr>
          <w:rFonts w:hint="default" w:ascii="Times New Roman" w:hAnsi="Times New Roman" w:eastAsia="仿宋" w:cs="Times New Roman"/>
          <w:b/>
          <w:bCs/>
          <w:color w:val="auto"/>
          <w:sz w:val="32"/>
          <w:szCs w:val="32"/>
        </w:rPr>
      </w:pPr>
      <w:r>
        <w:rPr>
          <w:rFonts w:hint="default" w:ascii="Times New Roman" w:hAnsi="Times New Roman" w:eastAsia="仿宋" w:cs="Times New Roman"/>
          <w:b/>
          <w:bCs/>
          <w:color w:val="auto"/>
          <w:sz w:val="32"/>
          <w:szCs w:val="32"/>
          <w:lang w:eastAsia="zh-CN"/>
        </w:rPr>
        <w:t>（</w:t>
      </w:r>
      <w:r>
        <w:rPr>
          <w:rFonts w:hint="default" w:ascii="Times New Roman" w:hAnsi="Times New Roman" w:eastAsia="仿宋" w:cs="Times New Roman"/>
          <w:b/>
          <w:bCs/>
          <w:color w:val="auto"/>
          <w:sz w:val="32"/>
          <w:szCs w:val="32"/>
          <w:lang w:val="en-US" w:eastAsia="zh-CN"/>
        </w:rPr>
        <w:t>二</w:t>
      </w:r>
      <w:r>
        <w:rPr>
          <w:rFonts w:hint="default" w:ascii="Times New Roman" w:hAnsi="Times New Roman" w:eastAsia="仿宋" w:cs="Times New Roman"/>
          <w:b/>
          <w:bCs/>
          <w:color w:val="auto"/>
          <w:sz w:val="32"/>
          <w:szCs w:val="32"/>
          <w:lang w:eastAsia="zh-CN"/>
        </w:rPr>
        <w:t>）</w:t>
      </w:r>
      <w:r>
        <w:rPr>
          <w:rFonts w:hint="default" w:ascii="Times New Roman" w:hAnsi="Times New Roman" w:eastAsia="仿宋" w:cs="Times New Roman"/>
          <w:b/>
          <w:bCs/>
          <w:color w:val="auto"/>
          <w:sz w:val="32"/>
          <w:szCs w:val="32"/>
        </w:rPr>
        <w:t>资金测算平衡情况</w:t>
      </w:r>
    </w:p>
    <w:p w14:paraId="31C4E62E">
      <w:pPr>
        <w:spacing w:beforeLines="50" w:afterLines="50" w:line="360" w:lineRule="auto"/>
        <w:ind w:firstLine="643" w:firstLineChars="200"/>
        <w:outlineLvl w:val="2"/>
        <w:rPr>
          <w:rFonts w:hint="default" w:ascii="Times New Roman" w:hAnsi="Times New Roman" w:eastAsia="仿宋" w:cs="Times New Roman"/>
          <w:b/>
          <w:bCs/>
          <w:color w:val="auto"/>
          <w:sz w:val="32"/>
          <w:szCs w:val="32"/>
          <w:lang w:val="en-US" w:eastAsia="zh-CN"/>
        </w:rPr>
      </w:pPr>
      <w:bookmarkStart w:id="73" w:name="_Toc18760766"/>
      <w:bookmarkStart w:id="74" w:name="_Toc20333"/>
      <w:bookmarkStart w:id="75" w:name="_Toc1381"/>
      <w:bookmarkStart w:id="76" w:name="_Toc24256"/>
      <w:r>
        <w:rPr>
          <w:rFonts w:hint="default" w:ascii="Times New Roman" w:hAnsi="Times New Roman" w:eastAsia="仿宋" w:cs="Times New Roman"/>
          <w:b/>
          <w:bCs/>
          <w:color w:val="auto"/>
          <w:sz w:val="32"/>
          <w:szCs w:val="32"/>
          <w:lang w:val="en-US" w:eastAsia="zh-CN"/>
        </w:rPr>
        <w:t>1.项目还本付息计划</w:t>
      </w:r>
      <w:bookmarkEnd w:id="73"/>
      <w:bookmarkEnd w:id="74"/>
      <w:bookmarkEnd w:id="75"/>
      <w:bookmarkEnd w:id="76"/>
    </w:p>
    <w:p w14:paraId="5359EC71">
      <w:pPr>
        <w:spacing w:beforeLines="50" w:afterLines="50" w:line="360" w:lineRule="auto"/>
        <w:ind w:firstLine="560" w:firstLineChars="200"/>
        <w:outlineLvl w:val="9"/>
        <w:rPr>
          <w:rFonts w:hint="default" w:ascii="Times New Roman" w:hAnsi="Times New Roman" w:eastAsia="仿宋" w:cs="Times New Roman"/>
          <w:bCs/>
          <w:color w:val="auto"/>
          <w:sz w:val="28"/>
          <w:szCs w:val="28"/>
        </w:rPr>
      </w:pPr>
      <w:bookmarkStart w:id="77" w:name="_Toc15443"/>
      <w:bookmarkStart w:id="78" w:name="_Toc18760767"/>
      <w:bookmarkStart w:id="79" w:name="_Toc12782"/>
      <w:bookmarkStart w:id="80" w:name="_Toc13883"/>
      <w:r>
        <w:rPr>
          <w:rFonts w:hint="default" w:ascii="Times New Roman" w:hAnsi="Times New Roman" w:eastAsia="仿宋" w:cs="Times New Roman"/>
          <w:bCs/>
          <w:color w:val="auto"/>
          <w:sz w:val="28"/>
          <w:szCs w:val="28"/>
        </w:rPr>
        <w:t>本项目发行债券需支付的利息，按照2.80%利率计算，债券发行期限为30年。假设在年初发行债券，每半年付息一次，期满一次偿还本金和最后一笔利息。债券存续期内累计需支付利息78960.00万元，其中：专项债券建设期利息计5712.00万元计入建设投资，专项债券在运营期间产生的利息费用73248.00万元。</w:t>
      </w:r>
    </w:p>
    <w:p w14:paraId="7801D74B">
      <w:pPr>
        <w:spacing w:beforeLines="50" w:afterLines="50" w:line="360" w:lineRule="auto"/>
        <w:ind w:firstLine="643" w:firstLineChars="200"/>
        <w:outlineLvl w:val="2"/>
        <w:rPr>
          <w:rFonts w:hint="default" w:ascii="Times New Roman" w:hAnsi="Times New Roman" w:eastAsia="仿宋" w:cs="Times New Roman"/>
          <w:b/>
          <w:bCs/>
          <w:color w:val="auto"/>
          <w:sz w:val="32"/>
          <w:szCs w:val="32"/>
          <w:lang w:val="en-US" w:eastAsia="zh-CN"/>
        </w:rPr>
      </w:pPr>
      <w:r>
        <w:rPr>
          <w:rFonts w:hint="default" w:ascii="Times New Roman" w:hAnsi="Times New Roman" w:eastAsia="仿宋" w:cs="Times New Roman"/>
          <w:b/>
          <w:bCs/>
          <w:color w:val="auto"/>
          <w:sz w:val="32"/>
          <w:szCs w:val="32"/>
          <w:lang w:val="en-US" w:eastAsia="zh-CN"/>
        </w:rPr>
        <w:t>2.项目资金平衡情况</w:t>
      </w:r>
      <w:bookmarkEnd w:id="77"/>
      <w:bookmarkEnd w:id="78"/>
      <w:bookmarkEnd w:id="79"/>
      <w:bookmarkEnd w:id="80"/>
    </w:p>
    <w:p w14:paraId="580D974F">
      <w:pPr>
        <w:spacing w:beforeLines="50" w:afterLines="50" w:line="360" w:lineRule="auto"/>
        <w:ind w:firstLine="560" w:firstLineChars="200"/>
        <w:jc w:val="both"/>
        <w:outlineLvl w:val="9"/>
        <w:rPr>
          <w:rFonts w:hint="default" w:ascii="Times New Roman" w:hAnsi="Times New Roman" w:eastAsia="仿宋" w:cs="Times New Roman"/>
          <w:color w:val="auto"/>
          <w:kern w:val="2"/>
          <w:sz w:val="28"/>
          <w:szCs w:val="28"/>
          <w:lang w:val="en-US"/>
        </w:rPr>
      </w:pPr>
      <w:r>
        <w:rPr>
          <w:rFonts w:hint="default" w:ascii="Times New Roman" w:hAnsi="Times New Roman" w:eastAsia="仿宋" w:cs="Times New Roman"/>
          <w:color w:val="auto"/>
          <w:kern w:val="2"/>
          <w:sz w:val="28"/>
          <w:szCs w:val="28"/>
          <w:lang w:val="en-US"/>
        </w:rPr>
        <w:t>（1）资金平衡情况</w:t>
      </w:r>
    </w:p>
    <w:p w14:paraId="38D50E0C">
      <w:pPr>
        <w:spacing w:beforeLines="50" w:afterLines="50" w:line="360" w:lineRule="auto"/>
        <w:ind w:firstLine="560" w:firstLineChars="200"/>
        <w:jc w:val="both"/>
        <w:outlineLvl w:val="9"/>
        <w:rPr>
          <w:rFonts w:hint="default" w:ascii="Times New Roman" w:hAnsi="Times New Roman" w:eastAsia="仿宋" w:cs="Times New Roman"/>
          <w:color w:val="auto"/>
          <w:kern w:val="2"/>
          <w:sz w:val="28"/>
          <w:szCs w:val="28"/>
          <w:lang w:val="en-US"/>
        </w:rPr>
      </w:pPr>
      <w:r>
        <w:rPr>
          <w:rFonts w:hint="default" w:ascii="Times New Roman" w:hAnsi="Times New Roman" w:eastAsia="仿宋" w:cs="Times New Roman"/>
          <w:color w:val="auto"/>
          <w:kern w:val="2"/>
          <w:sz w:val="28"/>
          <w:szCs w:val="28"/>
          <w:lang w:val="en-US"/>
        </w:rPr>
        <w:t>若项目在满足上述资金筹集计划、项目实施计划、资金使用计划及预期收益的假设前提下，政府专项债到期日累计资金结余40202.47万元，项目在预测期内“息前净现金流”为207450.47万元，可偿债“净现金流”为134202.47万元，“专项债券融资到期本息”合计172960.00万元；</w:t>
      </w:r>
    </w:p>
    <w:p w14:paraId="03857053">
      <w:pPr>
        <w:spacing w:beforeLines="50" w:afterLines="50" w:line="360" w:lineRule="auto"/>
        <w:ind w:firstLine="560" w:firstLineChars="200"/>
        <w:jc w:val="both"/>
        <w:outlineLvl w:val="9"/>
        <w:rPr>
          <w:rFonts w:hint="default" w:ascii="Times New Roman" w:hAnsi="Times New Roman" w:eastAsia="仿宋" w:cs="Times New Roman"/>
          <w:color w:val="auto"/>
          <w:kern w:val="2"/>
          <w:sz w:val="28"/>
          <w:szCs w:val="28"/>
          <w:lang w:val="en-US"/>
        </w:rPr>
      </w:pPr>
      <w:r>
        <w:rPr>
          <w:rFonts w:hint="default" w:ascii="Times New Roman" w:hAnsi="Times New Roman" w:eastAsia="仿宋" w:cs="Times New Roman"/>
          <w:color w:val="auto"/>
          <w:kern w:val="2"/>
          <w:sz w:val="28"/>
          <w:szCs w:val="28"/>
          <w:lang w:val="en-US"/>
        </w:rPr>
        <w:t>本项目收益覆盖倍数（息前净现金流/专项债券融资到期本息）为1.20倍，期间不存在资金缺口。</w:t>
      </w:r>
    </w:p>
    <w:p w14:paraId="449CECBE">
      <w:pPr>
        <w:spacing w:beforeLines="50" w:afterLines="50" w:line="360" w:lineRule="auto"/>
        <w:ind w:firstLine="560" w:firstLineChars="200"/>
        <w:jc w:val="both"/>
        <w:outlineLvl w:val="9"/>
        <w:rPr>
          <w:rFonts w:hint="default" w:ascii="Times New Roman" w:hAnsi="Times New Roman" w:eastAsia="仿宋" w:cs="Times New Roman"/>
          <w:color w:val="auto"/>
          <w:kern w:val="2"/>
          <w:sz w:val="28"/>
          <w:szCs w:val="28"/>
          <w:lang w:val="en-US"/>
        </w:rPr>
      </w:pPr>
      <w:r>
        <w:rPr>
          <w:rFonts w:hint="default" w:ascii="Times New Roman" w:hAnsi="Times New Roman" w:eastAsia="仿宋" w:cs="Times New Roman"/>
          <w:color w:val="auto"/>
          <w:kern w:val="2"/>
          <w:sz w:val="28"/>
          <w:szCs w:val="28"/>
          <w:lang w:val="en-US"/>
        </w:rPr>
        <w:t>（2）项目收支情况</w:t>
      </w:r>
    </w:p>
    <w:p w14:paraId="2D44524D">
      <w:pPr>
        <w:spacing w:beforeLines="50" w:afterLines="50" w:line="360" w:lineRule="auto"/>
        <w:ind w:firstLine="560" w:firstLineChars="200"/>
        <w:jc w:val="both"/>
        <w:outlineLvl w:val="9"/>
        <w:rPr>
          <w:rFonts w:hint="default" w:ascii="Times New Roman" w:hAnsi="Times New Roman" w:eastAsia="仿宋" w:cs="Times New Roman"/>
          <w:color w:val="auto"/>
          <w:kern w:val="2"/>
          <w:sz w:val="28"/>
          <w:szCs w:val="28"/>
          <w:lang w:val="en-US"/>
        </w:rPr>
      </w:pPr>
      <w:r>
        <w:rPr>
          <w:rFonts w:hint="default" w:ascii="Times New Roman" w:hAnsi="Times New Roman" w:eastAsia="仿宋" w:cs="Times New Roman"/>
          <w:color w:val="auto"/>
          <w:kern w:val="2"/>
          <w:sz w:val="28"/>
          <w:szCs w:val="28"/>
          <w:lang w:val="en-US"/>
        </w:rPr>
        <w:t>项目运营预期收入：263776.67万元</w:t>
      </w:r>
    </w:p>
    <w:p w14:paraId="0912231C">
      <w:pPr>
        <w:spacing w:beforeLines="50" w:afterLines="50" w:line="360" w:lineRule="auto"/>
        <w:ind w:firstLine="560" w:firstLineChars="200"/>
        <w:jc w:val="both"/>
        <w:outlineLvl w:val="9"/>
        <w:rPr>
          <w:rFonts w:hint="default" w:ascii="Times New Roman" w:hAnsi="Times New Roman" w:eastAsia="仿宋" w:cs="Times New Roman"/>
          <w:color w:val="auto"/>
          <w:kern w:val="2"/>
          <w:sz w:val="28"/>
          <w:szCs w:val="28"/>
          <w:lang w:val="en-US"/>
        </w:rPr>
      </w:pPr>
      <w:r>
        <w:rPr>
          <w:rFonts w:hint="default" w:ascii="Times New Roman" w:hAnsi="Times New Roman" w:eastAsia="仿宋" w:cs="Times New Roman"/>
          <w:color w:val="auto"/>
          <w:kern w:val="2"/>
          <w:sz w:val="28"/>
          <w:szCs w:val="28"/>
          <w:lang w:val="en-US"/>
        </w:rPr>
        <w:t>项目运营支出（不含财务费用）=经营活动产生的现金流出=项目运营成本（不含财务费用）+其他运营支出=56326.20万元。</w:t>
      </w:r>
    </w:p>
    <w:p w14:paraId="6E145D8C">
      <w:pPr>
        <w:spacing w:beforeLines="50" w:afterLines="50" w:line="360" w:lineRule="auto"/>
        <w:ind w:firstLine="560" w:firstLineChars="200"/>
        <w:jc w:val="both"/>
        <w:outlineLvl w:val="9"/>
        <w:rPr>
          <w:rFonts w:hint="default" w:ascii="Times New Roman" w:hAnsi="Times New Roman" w:eastAsia="仿宋" w:cs="Times New Roman"/>
          <w:color w:val="auto"/>
          <w:sz w:val="28"/>
          <w:szCs w:val="28"/>
          <w:lang w:val="en-US" w:eastAsia="zh-CN"/>
        </w:rPr>
        <w:sectPr>
          <w:headerReference r:id="rId5" w:type="default"/>
          <w:footerReference r:id="rId6" w:type="default"/>
          <w:pgSz w:w="11906" w:h="16838"/>
          <w:pgMar w:top="1440" w:right="1800" w:bottom="1440" w:left="1800" w:header="851" w:footer="992" w:gutter="0"/>
          <w:pgNumType w:fmt="decimal"/>
          <w:cols w:space="425" w:num="1"/>
          <w:docGrid w:type="lines" w:linePitch="326" w:charSpace="0"/>
        </w:sectPr>
      </w:pPr>
      <w:r>
        <w:rPr>
          <w:rFonts w:hint="default" w:ascii="Times New Roman" w:hAnsi="Times New Roman" w:eastAsia="仿宋" w:cs="Times New Roman"/>
          <w:color w:val="auto"/>
          <w:sz w:val="28"/>
          <w:szCs w:val="28"/>
          <w:lang w:val="en-US" w:eastAsia="zh-CN"/>
        </w:rPr>
        <w:t>资金测算平衡情况具体见表下表所示。</w:t>
      </w:r>
    </w:p>
    <w:p w14:paraId="29CAAA25">
      <w:pPr>
        <w:pStyle w:val="6"/>
        <w:jc w:val="center"/>
        <w:outlineLvl w:val="1"/>
        <w:rPr>
          <w:rFonts w:hint="default" w:ascii="Times New Roman" w:hAnsi="Times New Roman" w:eastAsia="仿宋" w:cs="Times New Roman"/>
          <w:b/>
          <w:bCs/>
          <w:color w:val="auto"/>
          <w:sz w:val="24"/>
          <w:szCs w:val="24"/>
          <w:lang w:val="en-US" w:eastAsia="zh-CN"/>
        </w:rPr>
      </w:pPr>
      <w:r>
        <w:rPr>
          <w:rFonts w:hint="default" w:ascii="Times New Roman" w:hAnsi="Times New Roman" w:eastAsia="仿宋" w:cs="Times New Roman"/>
          <w:b/>
          <w:bCs/>
          <w:color w:val="auto"/>
          <w:sz w:val="24"/>
          <w:szCs w:val="24"/>
          <w:lang w:val="en-US" w:eastAsia="zh-CN"/>
        </w:rPr>
        <w:t>资金平衡测算表</w:t>
      </w:r>
    </w:p>
    <w:p w14:paraId="238BE0E1">
      <w:pPr>
        <w:pStyle w:val="7"/>
        <w:jc w:val="right"/>
        <w:outlineLvl w:val="1"/>
        <w:rPr>
          <w:rFonts w:hint="default" w:ascii="Times New Roman" w:hAnsi="Times New Roman" w:eastAsia="仿宋" w:cs="Times New Roman"/>
          <w:b/>
          <w:bCs/>
          <w:caps w:val="0"/>
          <w:color w:val="auto"/>
          <w:kern w:val="0"/>
          <w:sz w:val="24"/>
          <w:szCs w:val="24"/>
          <w:lang w:val="en-US" w:eastAsia="zh-CN" w:bidi="ar-SA"/>
        </w:rPr>
      </w:pPr>
      <w:r>
        <w:rPr>
          <w:rFonts w:hint="default" w:ascii="Times New Roman" w:hAnsi="Times New Roman" w:eastAsia="仿宋" w:cs="Times New Roman"/>
          <w:b/>
          <w:bCs/>
          <w:caps w:val="0"/>
          <w:color w:val="auto"/>
          <w:kern w:val="0"/>
          <w:sz w:val="24"/>
          <w:szCs w:val="24"/>
          <w:lang w:val="en-US" w:eastAsia="zh-CN" w:bidi="ar-SA"/>
        </w:rPr>
        <w:t>单位：万元</w:t>
      </w:r>
    </w:p>
    <w:p w14:paraId="16E83869">
      <w:pPr>
        <w:shd w:val="clear"/>
        <w:spacing w:before="0" w:beforeLines="0" w:after="0" w:afterLines="0"/>
        <w:ind w:firstLine="0" w:firstLineChars="0"/>
        <w:jc w:val="center"/>
        <w:rPr>
          <w:rFonts w:hint="eastAsia" w:ascii="Times New Roman" w:hAnsi="Times New Roman" w:cs="仿宋"/>
          <w:b/>
          <w:bCs/>
          <w:caps w:val="0"/>
          <w:color w:val="auto"/>
          <w:szCs w:val="32"/>
          <w:highlight w:val="none"/>
        </w:rPr>
      </w:pPr>
    </w:p>
    <w:p w14:paraId="6C2B1624">
      <w:pPr>
        <w:shd w:val="clear"/>
        <w:spacing w:before="0" w:beforeLines="0" w:after="0" w:afterLines="0"/>
        <w:ind w:firstLine="0" w:firstLineChars="0"/>
        <w:jc w:val="center"/>
        <w:rPr>
          <w:rFonts w:hint="eastAsia" w:ascii="Times New Roman" w:hAnsi="Times New Roman" w:cs="仿宋"/>
          <w:b/>
          <w:bCs/>
          <w:caps w:val="0"/>
          <w:color w:val="auto"/>
          <w:szCs w:val="32"/>
          <w:highlight w:val="none"/>
        </w:rPr>
      </w:pPr>
      <w:r>
        <w:rPr>
          <w:rFonts w:hint="eastAsia" w:ascii="Times New Roman" w:hAnsi="Times New Roman" w:cs="仿宋"/>
          <w:b/>
          <w:bCs/>
          <w:caps w:val="0"/>
          <w:color w:val="auto"/>
          <w:szCs w:val="32"/>
          <w:highlight w:val="none"/>
        </w:rPr>
        <w:object>
          <v:shape id="_x0000_i1025" o:spt="75" type="#_x0000_t75" style="height:299.95pt;width:769.45pt;" o:ole="t" filled="f" o:preferrelative="t" stroked="f" coordsize="21600,21600">
            <v:path/>
            <v:fill on="f" focussize="0,0"/>
            <v:stroke on="f"/>
            <v:imagedata r:id="rId10" o:title=""/>
            <o:lock v:ext="edit" aspectratio="f"/>
            <w10:wrap type="none"/>
            <w10:anchorlock/>
          </v:shape>
          <o:OLEObject Type="Embed" ProgID="Excel.Sheet.12" ShapeID="_x0000_i1025" DrawAspect="Content" ObjectID="_1468075725" r:id="rId9">
            <o:LockedField>false</o:LockedField>
          </o:OLEObject>
        </w:object>
      </w:r>
    </w:p>
    <w:p w14:paraId="1A304890">
      <w:pPr>
        <w:shd w:val="clear"/>
        <w:spacing w:before="0" w:beforeLines="0" w:after="0" w:afterLines="0"/>
        <w:ind w:firstLine="0" w:firstLineChars="0"/>
        <w:jc w:val="center"/>
        <w:rPr>
          <w:rFonts w:hint="eastAsia" w:ascii="Times New Roman" w:hAnsi="Times New Roman" w:cs="仿宋"/>
          <w:b/>
          <w:bCs/>
          <w:caps w:val="0"/>
          <w:color w:val="auto"/>
          <w:szCs w:val="32"/>
          <w:highlight w:val="none"/>
        </w:rPr>
        <w:sectPr>
          <w:pgSz w:w="16838" w:h="11906" w:orient="landscape"/>
          <w:pgMar w:top="720" w:right="720" w:bottom="720" w:left="720" w:header="964" w:footer="992" w:gutter="0"/>
          <w:cols w:space="720" w:num="1"/>
          <w:docGrid w:type="lines" w:linePitch="381" w:charSpace="0"/>
        </w:sectPr>
      </w:pPr>
    </w:p>
    <w:p w14:paraId="78A31407">
      <w:pPr>
        <w:shd w:val="clear"/>
        <w:spacing w:before="0" w:beforeLines="0" w:after="0" w:afterLines="0"/>
        <w:ind w:firstLine="0" w:firstLineChars="0"/>
        <w:jc w:val="center"/>
        <w:rPr>
          <w:rFonts w:hint="eastAsia" w:ascii="Times New Roman" w:hAnsi="Times New Roman" w:cs="仿宋"/>
          <w:b/>
          <w:bCs/>
          <w:caps w:val="0"/>
          <w:color w:val="auto"/>
          <w:szCs w:val="32"/>
          <w:highlight w:val="none"/>
          <w:lang w:val="en-US" w:eastAsia="zh-CN"/>
        </w:rPr>
      </w:pPr>
      <w:r>
        <w:rPr>
          <w:rFonts w:hint="eastAsia" w:ascii="Times New Roman" w:hAnsi="Times New Roman" w:cs="仿宋"/>
          <w:b/>
          <w:bCs/>
          <w:caps w:val="0"/>
          <w:color w:val="auto"/>
          <w:szCs w:val="32"/>
          <w:highlight w:val="none"/>
          <w:lang w:val="en-US" w:eastAsia="zh-CN"/>
        </w:rPr>
        <w:t>续表：</w:t>
      </w:r>
    </w:p>
    <w:p w14:paraId="1DE3B4DE">
      <w:pPr>
        <w:pStyle w:val="2"/>
        <w:shd w:val="clear"/>
        <w:ind w:left="0" w:leftChars="0" w:firstLine="0" w:firstLineChars="0"/>
        <w:rPr>
          <w:rFonts w:hint="eastAsia"/>
          <w:color w:val="auto"/>
          <w:highlight w:val="none"/>
          <w:lang w:val="en-US" w:eastAsia="zh-CN"/>
        </w:rPr>
      </w:pPr>
      <w:r>
        <w:rPr>
          <w:rFonts w:hint="eastAsia"/>
          <w:color w:val="auto"/>
          <w:highlight w:val="none"/>
          <w:lang w:val="en-US" w:eastAsia="zh-CN"/>
        </w:rPr>
        <w:object>
          <v:shape id="_x0000_i1026" o:spt="75" type="#_x0000_t75" style="height:367pt;width:769.7pt;" o:ole="t" filled="f" o:preferrelative="t" stroked="f" coordsize="21600,21600">
            <v:path/>
            <v:fill on="f" focussize="0,0"/>
            <v:stroke on="f"/>
            <v:imagedata r:id="rId12" o:title=""/>
            <o:lock v:ext="edit" aspectratio="f"/>
            <w10:wrap type="none"/>
            <w10:anchorlock/>
          </v:shape>
          <o:OLEObject Type="Embed" ProgID="Excel.Sheet.12" ShapeID="_x0000_i1026" DrawAspect="Content" ObjectID="_1468075726" r:id="rId11">
            <o:LockedField>false</o:LockedField>
          </o:OLEObject>
        </w:object>
      </w:r>
    </w:p>
    <w:p w14:paraId="20363798">
      <w:pPr>
        <w:shd w:val="clear"/>
        <w:spacing w:before="0" w:beforeLines="0" w:after="0" w:afterLines="0"/>
        <w:ind w:firstLine="0" w:firstLineChars="0"/>
        <w:jc w:val="center"/>
        <w:rPr>
          <w:rFonts w:hint="eastAsia" w:ascii="Times New Roman" w:hAnsi="Times New Roman" w:cs="仿宋"/>
          <w:b/>
          <w:bCs/>
          <w:caps w:val="0"/>
          <w:color w:val="auto"/>
          <w:szCs w:val="32"/>
          <w:highlight w:val="none"/>
          <w:lang w:val="en-US" w:eastAsia="zh-CN"/>
        </w:rPr>
        <w:sectPr>
          <w:pgSz w:w="16838" w:h="11906" w:orient="landscape"/>
          <w:pgMar w:top="720" w:right="720" w:bottom="720" w:left="720" w:header="964" w:footer="992" w:gutter="0"/>
          <w:cols w:space="720" w:num="1"/>
          <w:docGrid w:type="lines" w:linePitch="381" w:charSpace="0"/>
        </w:sectPr>
      </w:pPr>
    </w:p>
    <w:p w14:paraId="3F259637">
      <w:pPr>
        <w:shd w:val="clear"/>
        <w:spacing w:before="0" w:beforeLines="0" w:after="0" w:afterLines="0"/>
        <w:ind w:firstLine="0" w:firstLineChars="0"/>
        <w:jc w:val="center"/>
        <w:rPr>
          <w:rFonts w:hint="eastAsia" w:ascii="Times New Roman" w:hAnsi="Times New Roman" w:cs="仿宋"/>
          <w:b/>
          <w:bCs/>
          <w:caps w:val="0"/>
          <w:color w:val="auto"/>
          <w:szCs w:val="32"/>
          <w:highlight w:val="none"/>
          <w:lang w:val="en-US" w:eastAsia="zh-CN"/>
        </w:rPr>
      </w:pPr>
      <w:r>
        <w:rPr>
          <w:rFonts w:hint="eastAsia" w:ascii="Times New Roman" w:hAnsi="Times New Roman" w:cs="仿宋"/>
          <w:b/>
          <w:bCs/>
          <w:caps w:val="0"/>
          <w:color w:val="auto"/>
          <w:szCs w:val="32"/>
          <w:highlight w:val="none"/>
          <w:lang w:val="en-US" w:eastAsia="zh-CN"/>
        </w:rPr>
        <w:t>续表：</w:t>
      </w:r>
    </w:p>
    <w:p w14:paraId="47F22894">
      <w:pPr>
        <w:shd w:val="clear"/>
        <w:spacing w:before="0" w:beforeLines="0" w:after="0" w:afterLines="0"/>
        <w:ind w:firstLine="0" w:firstLineChars="0"/>
        <w:jc w:val="center"/>
        <w:rPr>
          <w:rFonts w:hint="eastAsia" w:ascii="仿宋" w:hAnsi="仿宋" w:cs="仿宋"/>
          <w:b/>
          <w:bCs/>
          <w:color w:val="auto"/>
          <w:szCs w:val="32"/>
          <w:highlight w:val="none"/>
        </w:rPr>
      </w:pPr>
      <w:r>
        <w:rPr>
          <w:rFonts w:hint="default" w:ascii="Times New Roman" w:hAnsi="Times New Roman" w:cs="仿宋"/>
          <w:b/>
          <w:bCs/>
          <w:caps w:val="0"/>
          <w:color w:val="auto"/>
          <w:szCs w:val="32"/>
          <w:highlight w:val="none"/>
          <w:lang w:val="en-US" w:eastAsia="zh-CN"/>
        </w:rPr>
        <w:object>
          <v:shape id="_x0000_i1027" o:spt="75" type="#_x0000_t75" style="height:383.1pt;width:769.35pt;" o:ole="t" filled="f" o:preferrelative="t" stroked="f" coordsize="21600,21600">
            <v:path/>
            <v:fill on="f" focussize="0,0"/>
            <v:stroke on="f"/>
            <v:imagedata r:id="rId14" o:title=""/>
            <o:lock v:ext="edit" aspectratio="f"/>
            <w10:wrap type="none"/>
            <w10:anchorlock/>
          </v:shape>
          <o:OLEObject Type="Embed" ProgID="Excel.Sheet.12" ShapeID="_x0000_i1027" DrawAspect="Content" ObjectID="_1468075727" r:id="rId13">
            <o:LockedField>false</o:LockedField>
          </o:OLEObject>
        </w:object>
      </w:r>
    </w:p>
    <w:p w14:paraId="59D2F2D1">
      <w:pPr>
        <w:pStyle w:val="25"/>
        <w:bidi w:val="0"/>
        <w:ind w:left="0" w:leftChars="0" w:firstLine="0" w:firstLineChars="0"/>
        <w:jc w:val="center"/>
        <w:outlineLvl w:val="9"/>
        <w:rPr>
          <w:rFonts w:hint="default"/>
          <w:color w:val="auto"/>
          <w:lang w:val="en-US" w:eastAsia="zh-CN"/>
        </w:rPr>
      </w:pPr>
    </w:p>
    <w:p w14:paraId="4E8D7241">
      <w:pPr>
        <w:pStyle w:val="25"/>
        <w:bidi w:val="0"/>
        <w:ind w:left="0" w:leftChars="0" w:firstLine="0" w:firstLineChars="0"/>
        <w:outlineLvl w:val="9"/>
        <w:rPr>
          <w:rFonts w:hint="default"/>
          <w:color w:val="auto"/>
          <w:lang w:val="en-US" w:eastAsia="zh-CN"/>
        </w:rPr>
        <w:sectPr>
          <w:headerReference r:id="rId7" w:type="default"/>
          <w:pgSz w:w="16838" w:h="11906" w:orient="landscape"/>
          <w:pgMar w:top="720" w:right="720" w:bottom="720" w:left="720" w:header="851" w:footer="992" w:gutter="0"/>
          <w:pgNumType w:fmt="decimal"/>
          <w:cols w:space="720" w:num="1"/>
          <w:docGrid w:type="lines" w:linePitch="381" w:charSpace="0"/>
        </w:sectPr>
      </w:pPr>
    </w:p>
    <w:p w14:paraId="39AB0656">
      <w:pPr>
        <w:adjustRightInd/>
        <w:snapToGrid/>
        <w:spacing w:line="560" w:lineRule="exact"/>
        <w:ind w:firstLine="640"/>
        <w:outlineLvl w:val="0"/>
        <w:rPr>
          <w:rFonts w:hint="default" w:ascii="Times New Roman" w:hAnsi="Times New Roman" w:eastAsia="黑体" w:cs="Times New Roman"/>
          <w:color w:val="auto"/>
          <w:sz w:val="32"/>
          <w:szCs w:val="32"/>
        </w:rPr>
      </w:pPr>
      <w:r>
        <w:rPr>
          <w:rFonts w:hint="default" w:ascii="Times New Roman" w:hAnsi="Times New Roman" w:eastAsia="黑体" w:cs="Times New Roman"/>
          <w:color w:val="auto"/>
          <w:sz w:val="32"/>
          <w:szCs w:val="32"/>
        </w:rPr>
        <w:t>五、项目绩效目标</w:t>
      </w:r>
    </w:p>
    <w:p w14:paraId="46F919CB">
      <w:pPr>
        <w:spacing w:beforeLines="50" w:afterLines="50" w:line="360" w:lineRule="auto"/>
        <w:ind w:firstLine="560" w:firstLineChars="200"/>
        <w:jc w:val="both"/>
        <w:outlineLvl w:val="1"/>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1</w:t>
      </w:r>
      <w:r>
        <w:rPr>
          <w:rFonts w:hint="default" w:ascii="Times New Roman" w:hAnsi="Times New Roman" w:eastAsia="仿宋" w:cs="Times New Roman"/>
          <w:color w:val="auto"/>
          <w:sz w:val="28"/>
          <w:szCs w:val="28"/>
          <w:lang w:val="en-US" w:eastAsia="zh-CN"/>
        </w:rPr>
        <w:t>、质量指标</w:t>
      </w:r>
    </w:p>
    <w:p w14:paraId="12F070C0">
      <w:pPr>
        <w:spacing w:beforeLines="50" w:afterLines="50" w:line="360" w:lineRule="auto"/>
        <w:ind w:firstLine="560" w:firstLineChars="200"/>
        <w:jc w:val="both"/>
        <w:outlineLvl w:val="9"/>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指标1：项目竣工验收达标率——≥95%</w:t>
      </w:r>
    </w:p>
    <w:p w14:paraId="49400121">
      <w:pPr>
        <w:spacing w:beforeLines="50" w:afterLines="50" w:line="360" w:lineRule="auto"/>
        <w:ind w:firstLine="560" w:firstLineChars="200"/>
        <w:jc w:val="both"/>
        <w:outlineLvl w:val="9"/>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指标2：项目设计方案变更率——≤5%</w:t>
      </w:r>
    </w:p>
    <w:p w14:paraId="62FB5502">
      <w:pPr>
        <w:spacing w:beforeLines="50" w:afterLines="50" w:line="360" w:lineRule="auto"/>
        <w:ind w:firstLine="560" w:firstLineChars="200"/>
        <w:jc w:val="both"/>
        <w:outlineLvl w:val="1"/>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2</w:t>
      </w:r>
      <w:r>
        <w:rPr>
          <w:rFonts w:hint="default" w:ascii="Times New Roman" w:hAnsi="Times New Roman" w:eastAsia="仿宋" w:cs="Times New Roman"/>
          <w:color w:val="auto"/>
          <w:sz w:val="28"/>
          <w:szCs w:val="28"/>
          <w:lang w:val="en-US" w:eastAsia="zh-CN"/>
        </w:rPr>
        <w:t>、经济效益指标</w:t>
      </w:r>
    </w:p>
    <w:p w14:paraId="0DA3DD68">
      <w:pPr>
        <w:pStyle w:val="6"/>
        <w:outlineLvl w:val="9"/>
        <w:rPr>
          <w:rFonts w:hint="default" w:ascii="Times New Roman" w:hAnsi="Times New Roman" w:cs="Times New Roman"/>
          <w:color w:val="auto"/>
          <w:lang w:val="en-US" w:eastAsia="zh-CN"/>
        </w:rPr>
      </w:pPr>
      <w:r>
        <w:rPr>
          <w:rFonts w:hint="default" w:ascii="Times New Roman" w:hAnsi="Times New Roman" w:eastAsia="仿宋" w:cs="Times New Roman"/>
          <w:color w:val="auto"/>
          <w:sz w:val="28"/>
          <w:szCs w:val="28"/>
          <w:lang w:val="en-US" w:eastAsia="zh-CN"/>
        </w:rPr>
        <w:t>指标1：项目总收入——</w:t>
      </w:r>
      <w:r>
        <w:rPr>
          <w:rFonts w:hint="eastAsia" w:ascii="Times New Roman" w:hAnsi="Times New Roman" w:eastAsia="仿宋" w:cs="Times New Roman"/>
          <w:color w:val="auto"/>
          <w:sz w:val="28"/>
          <w:szCs w:val="28"/>
          <w:lang w:val="en-US" w:eastAsia="zh-CN"/>
        </w:rPr>
        <w:t>263776.67万元</w:t>
      </w:r>
    </w:p>
    <w:p w14:paraId="2FCCD7C2">
      <w:pPr>
        <w:spacing w:beforeLines="50" w:afterLines="50" w:line="360" w:lineRule="auto"/>
        <w:ind w:firstLine="560" w:firstLineChars="200"/>
        <w:jc w:val="both"/>
        <w:outlineLvl w:val="1"/>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3</w:t>
      </w:r>
      <w:r>
        <w:rPr>
          <w:rFonts w:hint="default" w:ascii="Times New Roman" w:hAnsi="Times New Roman" w:eastAsia="仿宋" w:cs="Times New Roman"/>
          <w:color w:val="auto"/>
          <w:sz w:val="28"/>
          <w:szCs w:val="28"/>
          <w:lang w:val="en-US" w:eastAsia="zh-CN"/>
        </w:rPr>
        <w:t>、社会效益指标</w:t>
      </w:r>
    </w:p>
    <w:p w14:paraId="206EF190">
      <w:pPr>
        <w:spacing w:beforeLines="50" w:afterLines="50" w:line="360" w:lineRule="auto"/>
        <w:ind w:firstLine="560" w:firstLineChars="200"/>
        <w:jc w:val="both"/>
        <w:outlineLvl w:val="1"/>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指标</w:t>
      </w:r>
      <w:r>
        <w:rPr>
          <w:rFonts w:hint="eastAsia" w:ascii="Times New Roman" w:hAnsi="Times New Roman" w:eastAsia="仿宋" w:cs="Times New Roman"/>
          <w:color w:val="auto"/>
          <w:sz w:val="28"/>
          <w:szCs w:val="28"/>
          <w:lang w:val="en-US" w:eastAsia="zh-CN"/>
        </w:rPr>
        <w:t>1</w:t>
      </w:r>
      <w:r>
        <w:rPr>
          <w:rFonts w:hint="default" w:ascii="Times New Roman" w:hAnsi="Times New Roman" w:eastAsia="仿宋" w:cs="Times New Roman"/>
          <w:color w:val="auto"/>
          <w:sz w:val="28"/>
          <w:szCs w:val="28"/>
          <w:lang w:val="en-US" w:eastAsia="zh-CN"/>
        </w:rPr>
        <w:t>：增加就业岗位</w:t>
      </w:r>
      <w:r>
        <w:rPr>
          <w:rFonts w:hint="default" w:ascii="Times New Roman" w:hAnsi="Times New Roman" w:eastAsia="仿宋" w:cs="Times New Roman"/>
          <w:color w:val="auto"/>
          <w:sz w:val="28"/>
          <w:szCs w:val="28"/>
          <w:lang w:val="en-US" w:eastAsia="zh-CN"/>
        </w:rPr>
        <w:tab/>
      </w:r>
      <w:r>
        <w:rPr>
          <w:rFonts w:hint="default" w:ascii="Times New Roman" w:hAnsi="Times New Roman" w:eastAsia="仿宋" w:cs="Times New Roman"/>
          <w:color w:val="auto"/>
          <w:sz w:val="28"/>
          <w:szCs w:val="28"/>
          <w:lang w:val="en-US" w:eastAsia="zh-CN"/>
        </w:rPr>
        <w:t>≥</w:t>
      </w:r>
      <w:r>
        <w:rPr>
          <w:rFonts w:hint="eastAsia" w:ascii="Times New Roman" w:hAnsi="Times New Roman" w:eastAsia="仿宋" w:cs="Times New Roman"/>
          <w:color w:val="auto"/>
          <w:sz w:val="28"/>
          <w:szCs w:val="28"/>
          <w:lang w:val="en-US" w:eastAsia="zh-CN"/>
        </w:rPr>
        <w:t>5</w:t>
      </w:r>
      <w:r>
        <w:rPr>
          <w:rFonts w:hint="default" w:ascii="Times New Roman" w:hAnsi="Times New Roman" w:eastAsia="仿宋" w:cs="Times New Roman"/>
          <w:color w:val="auto"/>
          <w:sz w:val="28"/>
          <w:szCs w:val="28"/>
          <w:lang w:val="en-US" w:eastAsia="zh-CN"/>
        </w:rPr>
        <w:t>0人</w:t>
      </w:r>
    </w:p>
    <w:p w14:paraId="6E24C85F">
      <w:pPr>
        <w:spacing w:beforeLines="50" w:afterLines="50" w:line="360" w:lineRule="auto"/>
        <w:ind w:firstLine="560" w:firstLineChars="200"/>
        <w:jc w:val="both"/>
        <w:outlineLvl w:val="1"/>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4</w:t>
      </w:r>
      <w:r>
        <w:rPr>
          <w:rFonts w:hint="default" w:ascii="Times New Roman" w:hAnsi="Times New Roman" w:eastAsia="仿宋" w:cs="Times New Roman"/>
          <w:color w:val="auto"/>
          <w:sz w:val="28"/>
          <w:szCs w:val="28"/>
          <w:lang w:val="en-US" w:eastAsia="zh-CN"/>
        </w:rPr>
        <w:t>、项目总体目标</w:t>
      </w:r>
    </w:p>
    <w:p w14:paraId="0F8A0083">
      <w:pPr>
        <w:spacing w:beforeLines="50" w:afterLines="50" w:line="360" w:lineRule="auto"/>
        <w:ind w:firstLine="560" w:firstLineChars="200"/>
        <w:jc w:val="both"/>
        <w:outlineLvl w:val="1"/>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目标1：新建定制化厂房约184000平方米，多层厂房6000平方米，新增停车位620个，改造园区管网等基础设施及建设其他配套设施。</w:t>
      </w:r>
    </w:p>
    <w:p w14:paraId="30F93B04">
      <w:pPr>
        <w:spacing w:beforeLines="50" w:afterLines="50" w:line="360" w:lineRule="auto"/>
        <w:ind w:firstLine="560" w:firstLineChars="200"/>
        <w:jc w:val="both"/>
        <w:outlineLvl w:val="1"/>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目标2：按时完成项目竣工验收。</w:t>
      </w:r>
    </w:p>
    <w:p w14:paraId="59886B01">
      <w:pPr>
        <w:spacing w:beforeLines="50" w:afterLines="50" w:line="360" w:lineRule="auto"/>
        <w:ind w:firstLine="560" w:firstLineChars="200"/>
        <w:jc w:val="both"/>
        <w:outlineLvl w:val="1"/>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目标3：债券存续期内实现年度收支平衡和总体收支平衡。</w:t>
      </w:r>
    </w:p>
    <w:p w14:paraId="183B30A8">
      <w:pPr>
        <w:spacing w:beforeLines="50" w:afterLines="50" w:line="360" w:lineRule="auto"/>
        <w:ind w:firstLine="560" w:firstLineChars="200"/>
        <w:jc w:val="both"/>
        <w:outlineLvl w:val="1"/>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目标4：提升产业园基础设施建设、改善区域基础设施配套。</w:t>
      </w:r>
    </w:p>
    <w:p w14:paraId="48298542">
      <w:pPr>
        <w:spacing w:beforeLines="50" w:afterLines="50" w:line="360" w:lineRule="auto"/>
        <w:ind w:firstLine="560" w:firstLineChars="200"/>
        <w:jc w:val="both"/>
        <w:outlineLvl w:val="1"/>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5、</w:t>
      </w:r>
      <w:r>
        <w:rPr>
          <w:rFonts w:hint="default" w:ascii="Times New Roman" w:hAnsi="Times New Roman" w:eastAsia="仿宋" w:cs="Times New Roman"/>
          <w:color w:val="auto"/>
          <w:sz w:val="28"/>
          <w:szCs w:val="28"/>
          <w:lang w:val="en-US" w:eastAsia="zh-CN"/>
        </w:rPr>
        <w:t>2025年年度目标：</w:t>
      </w:r>
    </w:p>
    <w:p w14:paraId="49E6BF98">
      <w:pPr>
        <w:spacing w:beforeLines="50" w:afterLines="50" w:line="360" w:lineRule="auto"/>
        <w:ind w:firstLine="560" w:firstLineChars="200"/>
        <w:jc w:val="both"/>
        <w:outlineLvl w:val="1"/>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目标1：完成新建定制化厂房约70000平方米。</w:t>
      </w:r>
    </w:p>
    <w:p w14:paraId="735CC52A">
      <w:pPr>
        <w:spacing w:beforeLines="50" w:afterLines="50" w:line="360" w:lineRule="auto"/>
        <w:ind w:firstLine="560" w:firstLineChars="200"/>
        <w:jc w:val="both"/>
        <w:outlineLvl w:val="1"/>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目标2：完成分部工程阶段验收工作。</w:t>
      </w:r>
    </w:p>
    <w:p w14:paraId="4B0624F1">
      <w:pPr>
        <w:spacing w:beforeLines="50" w:afterLines="50" w:line="360" w:lineRule="auto"/>
        <w:ind w:firstLine="560" w:firstLineChars="200"/>
        <w:jc w:val="both"/>
        <w:outlineLvl w:val="1"/>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6、可持续影响指标</w:t>
      </w:r>
    </w:p>
    <w:p w14:paraId="7E06416E">
      <w:pPr>
        <w:spacing w:beforeLines="50" w:afterLines="50" w:line="360" w:lineRule="auto"/>
        <w:ind w:firstLine="560" w:firstLineChars="200"/>
        <w:jc w:val="both"/>
        <w:outlineLvl w:val="9"/>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指标1：运营期限——≧</w:t>
      </w:r>
      <w:r>
        <w:rPr>
          <w:rFonts w:hint="eastAsia" w:ascii="Times New Roman" w:hAnsi="Times New Roman" w:eastAsia="仿宋" w:cs="Times New Roman"/>
          <w:color w:val="auto"/>
          <w:sz w:val="28"/>
          <w:szCs w:val="28"/>
          <w:lang w:val="en-US" w:eastAsia="zh-CN"/>
        </w:rPr>
        <w:t>29</w:t>
      </w:r>
      <w:r>
        <w:rPr>
          <w:rFonts w:hint="default" w:ascii="Times New Roman" w:hAnsi="Times New Roman" w:eastAsia="仿宋" w:cs="Times New Roman"/>
          <w:color w:val="auto"/>
          <w:sz w:val="28"/>
          <w:szCs w:val="28"/>
          <w:lang w:val="en-US" w:eastAsia="zh-CN"/>
        </w:rPr>
        <w:t>年</w:t>
      </w:r>
    </w:p>
    <w:p w14:paraId="10B59B40">
      <w:pPr>
        <w:spacing w:beforeLines="50" w:afterLines="50" w:line="360" w:lineRule="auto"/>
        <w:ind w:firstLine="560" w:firstLineChars="200"/>
        <w:jc w:val="both"/>
        <w:outlineLvl w:val="9"/>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指标2：推动区域全面协调发展——达成预期目标</w:t>
      </w:r>
    </w:p>
    <w:p w14:paraId="15B20490">
      <w:pPr>
        <w:adjustRightInd/>
        <w:snapToGrid/>
        <w:spacing w:line="560" w:lineRule="exact"/>
        <w:ind w:firstLine="640"/>
        <w:outlineLvl w:val="0"/>
        <w:rPr>
          <w:rFonts w:hint="default" w:ascii="Times New Roman" w:hAnsi="Times New Roman" w:eastAsia="黑体" w:cs="Times New Roman"/>
          <w:color w:val="auto"/>
          <w:sz w:val="28"/>
          <w:szCs w:val="32"/>
        </w:rPr>
      </w:pPr>
      <w:r>
        <w:rPr>
          <w:rFonts w:hint="default" w:ascii="Times New Roman" w:hAnsi="Times New Roman" w:eastAsia="黑体" w:cs="Times New Roman"/>
          <w:color w:val="auto"/>
          <w:sz w:val="32"/>
          <w:szCs w:val="32"/>
        </w:rPr>
        <w:t>六、潜在影响项目的风险评估</w:t>
      </w:r>
    </w:p>
    <w:p w14:paraId="706B3169">
      <w:pPr>
        <w:spacing w:beforeLines="50" w:afterLines="50" w:line="360" w:lineRule="auto"/>
        <w:ind w:firstLine="560" w:firstLineChars="200"/>
        <w:jc w:val="both"/>
        <w:outlineLvl w:val="1"/>
        <w:rPr>
          <w:rFonts w:hint="default" w:ascii="Times New Roman" w:hAnsi="Times New Roman" w:eastAsia="仿宋" w:cs="Times New Roman"/>
          <w:color w:val="auto"/>
          <w:sz w:val="28"/>
          <w:szCs w:val="28"/>
          <w:lang w:val="en-US" w:eastAsia="zh-CN"/>
        </w:rPr>
      </w:pPr>
      <w:bookmarkStart w:id="81" w:name="_Toc15343"/>
      <w:bookmarkStart w:id="82" w:name="_Toc522211123"/>
      <w:r>
        <w:rPr>
          <w:rFonts w:hint="default" w:ascii="Times New Roman" w:hAnsi="Times New Roman" w:eastAsia="仿宋" w:cs="Times New Roman"/>
          <w:color w:val="auto"/>
          <w:sz w:val="28"/>
          <w:szCs w:val="28"/>
          <w:lang w:val="en-US" w:eastAsia="zh-CN"/>
        </w:rPr>
        <w:t>1.经营风险</w:t>
      </w:r>
      <w:bookmarkEnd w:id="81"/>
      <w:bookmarkEnd w:id="82"/>
    </w:p>
    <w:p w14:paraId="1EC9FF76">
      <w:pPr>
        <w:spacing w:beforeLines="50" w:afterLines="50" w:line="360" w:lineRule="auto"/>
        <w:ind w:firstLine="560" w:firstLineChars="200"/>
        <w:jc w:val="both"/>
        <w:outlineLvl w:val="9"/>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风险识别：经营风险是指生产经营的不确定性带来的风险。若项目投入运营后的收入未能达到预测值，将影响项目整体收益，对债券还本付息产生影响。</w:t>
      </w:r>
    </w:p>
    <w:p w14:paraId="6A0F89F4">
      <w:pPr>
        <w:spacing w:beforeLines="50" w:afterLines="50" w:line="360" w:lineRule="auto"/>
        <w:ind w:firstLine="560" w:firstLineChars="200"/>
        <w:jc w:val="both"/>
        <w:outlineLvl w:val="9"/>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风险控制措施：要求项目管理单位密切关注价格的收取情况，根据实际调整运营成本及业务体系，保证还本付息资金。</w:t>
      </w:r>
      <w:bookmarkStart w:id="83" w:name="_Toc522211124"/>
      <w:bookmarkStart w:id="84" w:name="_Toc4440"/>
    </w:p>
    <w:p w14:paraId="553B579B">
      <w:pPr>
        <w:spacing w:beforeLines="50" w:afterLines="50" w:line="360" w:lineRule="auto"/>
        <w:ind w:firstLine="560" w:firstLineChars="200"/>
        <w:jc w:val="both"/>
        <w:outlineLvl w:val="1"/>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2.市场风险</w:t>
      </w:r>
      <w:bookmarkEnd w:id="83"/>
      <w:bookmarkEnd w:id="84"/>
    </w:p>
    <w:p w14:paraId="21084676">
      <w:pPr>
        <w:spacing w:beforeLines="50" w:afterLines="50" w:line="360" w:lineRule="auto"/>
        <w:ind w:firstLine="560" w:firstLineChars="200"/>
        <w:jc w:val="both"/>
        <w:outlineLvl w:val="9"/>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风险识别：在专项债券存续期内，国际、国内宏观经济环境的变化，国家经济政策变动等因素会引起债务资本市场利率的波动，市场利率波动将会对本项目的财务成本产生一定影响，进而影响项目投资收益的平衡。</w:t>
      </w:r>
    </w:p>
    <w:p w14:paraId="05361096">
      <w:pPr>
        <w:spacing w:beforeLines="50" w:afterLines="50" w:line="360" w:lineRule="auto"/>
        <w:ind w:firstLine="560" w:firstLineChars="200"/>
        <w:jc w:val="both"/>
        <w:outlineLvl w:val="9"/>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风险控制措施：要求项目单位合理安排债券发行金额和债券期限，做好债券的期限配比、还款计划和资金准备。</w:t>
      </w:r>
    </w:p>
    <w:p w14:paraId="35303E02">
      <w:pPr>
        <w:spacing w:beforeLines="50" w:afterLines="50" w:line="360" w:lineRule="auto"/>
        <w:ind w:firstLine="560" w:firstLineChars="200"/>
        <w:jc w:val="both"/>
        <w:outlineLvl w:val="1"/>
        <w:rPr>
          <w:rFonts w:hint="default" w:ascii="Times New Roman" w:hAnsi="Times New Roman" w:eastAsia="仿宋" w:cs="Times New Roman"/>
          <w:color w:val="auto"/>
          <w:sz w:val="28"/>
          <w:szCs w:val="28"/>
          <w:lang w:val="en-US" w:eastAsia="zh-CN"/>
        </w:rPr>
      </w:pPr>
      <w:bookmarkStart w:id="85" w:name="_Toc15747"/>
      <w:bookmarkStart w:id="86" w:name="_Toc522211125"/>
      <w:r>
        <w:rPr>
          <w:rFonts w:hint="default" w:ascii="Times New Roman" w:hAnsi="Times New Roman" w:eastAsia="仿宋" w:cs="Times New Roman"/>
          <w:color w:val="auto"/>
          <w:sz w:val="28"/>
          <w:szCs w:val="28"/>
          <w:lang w:val="en-US" w:eastAsia="zh-CN"/>
        </w:rPr>
        <w:t>3.财务风险</w:t>
      </w:r>
      <w:bookmarkEnd w:id="85"/>
      <w:bookmarkEnd w:id="86"/>
    </w:p>
    <w:p w14:paraId="50FCD8EB">
      <w:pPr>
        <w:spacing w:beforeLines="50" w:afterLines="50" w:line="360" w:lineRule="auto"/>
        <w:ind w:firstLine="560" w:firstLineChars="200"/>
        <w:jc w:val="both"/>
        <w:outlineLvl w:val="9"/>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风险识别：由于项目建设周期较长，如果在项目建设过程中，受市场因素影响，项目施工所需的原材料价格上涨，将导致项目施工成本增加，财务负担加重，进而影响项目建设进度，以及项目建设期内专项债券的利息兑付，因此面临一定财务风险。</w:t>
      </w:r>
    </w:p>
    <w:p w14:paraId="0E39008C">
      <w:pPr>
        <w:spacing w:beforeLines="50" w:afterLines="50" w:line="360" w:lineRule="auto"/>
        <w:ind w:firstLine="560" w:firstLineChars="200"/>
        <w:jc w:val="both"/>
        <w:outlineLvl w:val="9"/>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风险控制措施：项目可行性研究报告编制过程中，在测算项目总投资时已考虑相关风险。同时，在项目建设过程中，加强项目施工预算管理、招标及合同管理，尽可能控制建设成本。</w:t>
      </w:r>
    </w:p>
    <w:p w14:paraId="5717D865">
      <w:pPr>
        <w:adjustRightInd/>
        <w:snapToGrid/>
        <w:spacing w:line="560" w:lineRule="exact"/>
        <w:ind w:firstLine="640"/>
        <w:outlineLvl w:val="0"/>
        <w:rPr>
          <w:rFonts w:hint="default" w:ascii="Times New Roman" w:hAnsi="Times New Roman" w:eastAsia="黑体" w:cs="Times New Roman"/>
          <w:color w:val="auto"/>
          <w:sz w:val="32"/>
          <w:szCs w:val="32"/>
        </w:rPr>
      </w:pPr>
      <w:r>
        <w:rPr>
          <w:rFonts w:hint="default" w:ascii="Times New Roman" w:hAnsi="Times New Roman" w:eastAsia="黑体" w:cs="Times New Roman"/>
          <w:color w:val="auto"/>
          <w:sz w:val="32"/>
          <w:szCs w:val="32"/>
        </w:rPr>
        <w:t>七、还款保障情况</w:t>
      </w:r>
    </w:p>
    <w:p w14:paraId="12E99813">
      <w:pPr>
        <w:adjustRightInd/>
        <w:snapToGrid/>
        <w:spacing w:line="560" w:lineRule="exact"/>
        <w:ind w:firstLine="640"/>
        <w:outlineLvl w:val="9"/>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按照《国务院办公厅关于印发地方政府性债务风险应急处置预案的通知》（国办函〔2016〕88号）、《财政部关于印发</w:t>
      </w:r>
      <w:r>
        <w:rPr>
          <w:rFonts w:hint="eastAsia" w:ascii="Times New Roman" w:hAnsi="Times New Roman" w:eastAsia="仿宋" w:cs="Times New Roman"/>
          <w:color w:val="auto"/>
          <w:sz w:val="28"/>
          <w:szCs w:val="28"/>
          <w:lang w:val="en-US" w:eastAsia="zh-CN"/>
        </w:rPr>
        <w:t>〈</w:t>
      </w:r>
      <w:r>
        <w:rPr>
          <w:rFonts w:hint="default" w:ascii="Times New Roman" w:hAnsi="Times New Roman" w:eastAsia="仿宋" w:cs="Times New Roman"/>
          <w:color w:val="auto"/>
          <w:sz w:val="28"/>
          <w:szCs w:val="28"/>
          <w:lang w:val="en-US" w:eastAsia="zh-CN"/>
        </w:rPr>
        <w:t>地方政府专项债务预算管理办法</w:t>
      </w:r>
      <w:r>
        <w:rPr>
          <w:rFonts w:hint="eastAsia" w:ascii="Times New Roman" w:hAnsi="Times New Roman" w:eastAsia="仿宋" w:cs="Times New Roman"/>
          <w:color w:val="auto"/>
          <w:sz w:val="28"/>
          <w:szCs w:val="28"/>
          <w:lang w:val="en-US" w:eastAsia="zh-CN"/>
        </w:rPr>
        <w:t>〉</w:t>
      </w:r>
      <w:r>
        <w:rPr>
          <w:rFonts w:hint="default" w:ascii="Times New Roman" w:hAnsi="Times New Roman" w:eastAsia="仿宋" w:cs="Times New Roman"/>
          <w:color w:val="auto"/>
          <w:sz w:val="28"/>
          <w:szCs w:val="28"/>
          <w:lang w:val="en-US" w:eastAsia="zh-CN"/>
        </w:rPr>
        <w:t>的通知》（财预〔2016〕155号）规定，及时按照转贷协议约定逐级向省财政缴纳本级应当承担的专项债还本付息资金，由省财政按照合同约定及时偿还专项债券到期本息。如专项债偿债出现困难，将通过调减投资计划、处置可变现资产、调整预算支出结构等方式筹集资金偿还债务。未按时足额向省财政缴纳专项债券还本付息资金的，省财政采取适当方式扣回。</w:t>
      </w:r>
    </w:p>
    <w:p w14:paraId="6E6A1628">
      <w:pPr>
        <w:adjustRightInd/>
        <w:snapToGrid/>
        <w:spacing w:line="560" w:lineRule="exact"/>
        <w:outlineLvl w:val="0"/>
        <w:rPr>
          <w:rFonts w:hint="default" w:ascii="Times New Roman" w:hAnsi="Times New Roman" w:eastAsia="仿宋" w:cs="Times New Roman"/>
          <w:color w:val="auto"/>
          <w:sz w:val="32"/>
          <w:szCs w:val="32"/>
        </w:rPr>
      </w:pPr>
      <w:r>
        <w:rPr>
          <w:rFonts w:hint="default" w:ascii="Times New Roman" w:hAnsi="Times New Roman" w:eastAsia="黑体" w:cs="Times New Roman"/>
          <w:color w:val="auto"/>
          <w:sz w:val="32"/>
          <w:szCs w:val="32"/>
        </w:rPr>
        <w:t>八、主管部门</w:t>
      </w:r>
      <w:r>
        <w:rPr>
          <w:rFonts w:hint="default" w:ascii="Times New Roman" w:hAnsi="Times New Roman" w:eastAsia="黑体" w:cs="Times New Roman"/>
          <w:color w:val="auto"/>
          <w:sz w:val="32"/>
          <w:szCs w:val="32"/>
          <w:lang w:val="en-US" w:eastAsia="zh-CN"/>
        </w:rPr>
        <w:t>和项目单位职责</w:t>
      </w:r>
    </w:p>
    <w:p w14:paraId="502D58FB">
      <w:pPr>
        <w:adjustRightInd/>
        <w:snapToGrid/>
        <w:spacing w:line="560" w:lineRule="exact"/>
        <w:ind w:firstLine="640"/>
        <w:outlineLvl w:val="9"/>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b/>
          <w:bCs/>
          <w:color w:val="auto"/>
          <w:sz w:val="28"/>
          <w:szCs w:val="28"/>
          <w:u w:val="single"/>
          <w:lang w:val="en-US" w:eastAsia="zh-CN"/>
        </w:rPr>
        <w:t>四川大邑经济开发区产业园区基础设施及配套建设项目</w:t>
      </w:r>
      <w:r>
        <w:rPr>
          <w:rFonts w:hint="default" w:ascii="Times New Roman" w:hAnsi="Times New Roman" w:eastAsia="仿宋" w:cs="Times New Roman"/>
          <w:b w:val="0"/>
          <w:bCs w:val="0"/>
          <w:color w:val="auto"/>
          <w:sz w:val="28"/>
          <w:szCs w:val="28"/>
          <w:lang w:val="en-US" w:eastAsia="zh-CN"/>
        </w:rPr>
        <w:t>的主管部门为</w:t>
      </w:r>
      <w:r>
        <w:rPr>
          <w:rFonts w:hint="eastAsia" w:ascii="Times New Roman" w:hAnsi="Times New Roman" w:eastAsia="仿宋" w:cs="Times New Roman"/>
          <w:b/>
          <w:bCs/>
          <w:color w:val="auto"/>
          <w:sz w:val="28"/>
          <w:szCs w:val="28"/>
          <w:u w:val="single"/>
          <w:lang w:val="en-US" w:eastAsia="zh-CN"/>
        </w:rPr>
        <w:t>大邑县发展和改革局</w:t>
      </w:r>
      <w:r>
        <w:rPr>
          <w:rFonts w:hint="default" w:ascii="Times New Roman" w:hAnsi="Times New Roman" w:eastAsia="仿宋" w:cs="Times New Roman"/>
          <w:b/>
          <w:bCs/>
          <w:color w:val="auto"/>
          <w:sz w:val="28"/>
          <w:szCs w:val="28"/>
          <w:lang w:val="en-US" w:eastAsia="zh-CN"/>
        </w:rPr>
        <w:t>，</w:t>
      </w:r>
      <w:r>
        <w:rPr>
          <w:rFonts w:hint="default" w:ascii="Times New Roman" w:hAnsi="Times New Roman" w:eastAsia="仿宋" w:cs="Times New Roman"/>
          <w:color w:val="auto"/>
          <w:sz w:val="28"/>
          <w:szCs w:val="28"/>
          <w:lang w:val="en-US" w:eastAsia="zh-CN"/>
        </w:rPr>
        <w:t>主管部门将会配合做好本地区项目收益专项债券发行准备工作，及时准确提供相关资料，配合做好信息披露、信用评级、资产评估等工作。项目运行过程中，主管部门将主动披露项目施工期间的施工进度、项目收益专项债券资金使用情况、项目运营期间的收支情况等信息。在债券资金管理方面，行业主管部门将会履行项目建设运营管理责任，加强成本控制，确保项目形成的专项收入应收尽收，并按照规定及时足额上交。年终时，行业主管部门配合财政部门编制项目收益债券收支决算，在政府性基金预算报告中全面、准确反映项目收益专项债券收入、支出、还本付息、发行费用、取得的收入等情况。债券对应资产管理方面，主管部门将会协同财政部门将各类项目收益专项债券对应项目形成的资产纳入国有资产管理，建立相应的资产登记和统计报告制度，加强资产日常统计和动态监控。</w:t>
      </w:r>
    </w:p>
    <w:p w14:paraId="7711035C">
      <w:pPr>
        <w:adjustRightInd/>
        <w:snapToGrid/>
        <w:spacing w:line="560" w:lineRule="exact"/>
        <w:ind w:firstLine="640"/>
        <w:outlineLvl w:val="9"/>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b w:val="0"/>
          <w:bCs w:val="0"/>
          <w:color w:val="auto"/>
          <w:sz w:val="28"/>
          <w:szCs w:val="28"/>
          <w:lang w:val="en-US" w:eastAsia="zh-CN"/>
        </w:rPr>
        <w:t>本项目项目单位为</w:t>
      </w:r>
      <w:r>
        <w:rPr>
          <w:rFonts w:hint="eastAsia" w:ascii="Times New Roman" w:hAnsi="Times New Roman" w:eastAsia="仿宋" w:cs="Times New Roman"/>
          <w:b/>
          <w:bCs/>
          <w:color w:val="auto"/>
          <w:sz w:val="28"/>
          <w:szCs w:val="28"/>
          <w:u w:val="single"/>
          <w:lang w:val="en-US" w:eastAsia="zh-CN"/>
        </w:rPr>
        <w:t>成都西岭兴邑科技发展有限公司</w:t>
      </w:r>
      <w:r>
        <w:rPr>
          <w:rFonts w:hint="default" w:ascii="Times New Roman" w:hAnsi="Times New Roman" w:eastAsia="仿宋" w:cs="Times New Roman"/>
          <w:b/>
          <w:bCs/>
          <w:color w:val="auto"/>
          <w:sz w:val="28"/>
          <w:szCs w:val="28"/>
          <w:lang w:val="en-US" w:eastAsia="zh-CN"/>
        </w:rPr>
        <w:t>，</w:t>
      </w:r>
      <w:r>
        <w:rPr>
          <w:rFonts w:hint="default" w:ascii="Times New Roman" w:hAnsi="Times New Roman" w:eastAsia="仿宋" w:cs="Times New Roman"/>
          <w:color w:val="auto"/>
          <w:sz w:val="28"/>
          <w:szCs w:val="28"/>
          <w:lang w:val="en-US" w:eastAsia="zh-CN"/>
        </w:rPr>
        <w:t>项目单位承担项目具体实施运营工作，保障项目资产在债券存续期内均能得到有效地使用和管理，发挥项目应有的公益性和经济性，按预期实现项目收益，保障专项债的还本付息。运营期资金实行统一管理，由财务单独立账、核算，资金使用严格按计划进行，并接受上级有关部门的监督和检查。项目单位强化企业管理，创建现代化管理模式，从细节上规范、约束企业，使企业的管理体制逐步走上科学化的轨道，创造较好的企业效益和社会效益。从管理、技术、安全、生产等四个方面细化业务流程和标准，量化考核指标。通过推行精、准的规范和加强细、严的控制，运用科学管理方法和科技手段，全面推进项目规范化管理升级。项目单位认真分析有关单价变化的政策，不断挖掘项目自身的开发潜力，有效规避市场风险。抓好经营工作，实现互利共赢和取得良好的经济效益。项目单位做好记账、核算等基础工作，正确、及时、全面、真实地反映企业的经济活动，财产资金变化、成本费用开支和经营成果。通过建立和健全各种手续制度，如实反映资金活动的情况，按期进行财产清查，做到账账相符、账实相符。通过会计信息，不断改善经营管理，促进企业合理使用资金，降低费用水平，提高经济效益</w:t>
      </w:r>
    </w:p>
    <w:p w14:paraId="115BCCC1">
      <w:pPr>
        <w:adjustRightInd/>
        <w:snapToGrid/>
        <w:spacing w:line="560" w:lineRule="exact"/>
        <w:ind w:firstLine="640"/>
        <w:outlineLvl w:val="9"/>
        <w:rPr>
          <w:rFonts w:hint="default" w:ascii="Times New Roman" w:hAnsi="Times New Roman" w:eastAsia="仿宋" w:cs="Times New Roman"/>
          <w:b/>
          <w:bCs/>
          <w:color w:val="auto"/>
          <w:sz w:val="28"/>
          <w:szCs w:val="28"/>
          <w:lang w:val="en-US" w:eastAsia="zh-CN"/>
        </w:rPr>
      </w:pPr>
      <w:r>
        <w:rPr>
          <w:rFonts w:hint="default" w:ascii="Times New Roman" w:hAnsi="Times New Roman" w:eastAsia="仿宋" w:cs="Times New Roman"/>
          <w:b/>
          <w:bCs/>
          <w:color w:val="auto"/>
          <w:sz w:val="28"/>
          <w:szCs w:val="28"/>
          <w:lang w:val="en-US" w:eastAsia="zh-CN"/>
        </w:rPr>
        <w:t>项目资金主管部门：</w:t>
      </w:r>
      <w:r>
        <w:rPr>
          <w:rFonts w:hint="eastAsia" w:ascii="Times New Roman" w:hAnsi="Times New Roman" w:eastAsia="仿宋" w:cs="Times New Roman"/>
          <w:b/>
          <w:bCs/>
          <w:color w:val="auto"/>
          <w:sz w:val="28"/>
          <w:szCs w:val="28"/>
          <w:u w:val="single"/>
          <w:lang w:val="en-US" w:eastAsia="zh-CN"/>
        </w:rPr>
        <w:t>四川省大邑县财政局</w:t>
      </w:r>
    </w:p>
    <w:p w14:paraId="128231AC">
      <w:pPr>
        <w:adjustRightInd/>
        <w:snapToGrid/>
        <w:spacing w:line="560" w:lineRule="exact"/>
        <w:ind w:firstLine="640"/>
        <w:outlineLvl w:val="9"/>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主要职责包括：（1）配合落实项目配套财政资金、专项债券资金；（2）监督项目资金的实际使用情况及对本期债券本息的按期偿付情况。</w:t>
      </w:r>
    </w:p>
    <w:p w14:paraId="012E7ED6">
      <w:pPr>
        <w:keepNext w:val="0"/>
        <w:keepLines w:val="0"/>
        <w:pageBreakBefore w:val="0"/>
        <w:kinsoku/>
        <w:wordWrap/>
        <w:overflowPunct/>
        <w:topLinePunct w:val="0"/>
        <w:autoSpaceDE/>
        <w:autoSpaceDN/>
        <w:bidi w:val="0"/>
        <w:adjustRightInd/>
        <w:snapToGrid/>
        <w:spacing w:line="360" w:lineRule="auto"/>
        <w:ind w:firstLine="640"/>
        <w:textAlignment w:val="auto"/>
        <w:outlineLvl w:val="0"/>
        <w:rPr>
          <w:rFonts w:hint="default" w:ascii="Times New Roman" w:hAnsi="Times New Roman" w:eastAsia="仿宋" w:cs="Times New Roman"/>
          <w:color w:val="auto"/>
          <w:kern w:val="2"/>
          <w:sz w:val="28"/>
          <w:szCs w:val="28"/>
          <w:lang w:val="en-US" w:eastAsia="zh-CN" w:bidi="ar-SA"/>
        </w:rPr>
      </w:pPr>
      <w:r>
        <w:rPr>
          <w:rFonts w:hint="default" w:ascii="Times New Roman" w:hAnsi="Times New Roman" w:eastAsia="黑体" w:cs="Times New Roman"/>
          <w:color w:val="auto"/>
          <w:sz w:val="32"/>
          <w:szCs w:val="32"/>
        </w:rPr>
        <w:t>九</w:t>
      </w:r>
      <w:r>
        <w:rPr>
          <w:rFonts w:hint="default" w:ascii="Times New Roman" w:hAnsi="Times New Roman" w:eastAsia="黑体" w:cs="Times New Roman"/>
          <w:color w:val="auto"/>
          <w:sz w:val="32"/>
          <w:szCs w:val="32"/>
          <w:lang w:eastAsia="zh-CN"/>
        </w:rPr>
        <w:t>、</w:t>
      </w:r>
      <w:r>
        <w:rPr>
          <w:rFonts w:hint="default" w:ascii="Times New Roman" w:hAnsi="Times New Roman" w:eastAsia="黑体" w:cs="Times New Roman"/>
          <w:color w:val="auto"/>
          <w:sz w:val="32"/>
          <w:szCs w:val="32"/>
        </w:rPr>
        <w:t>补充说明</w:t>
      </w:r>
    </w:p>
    <w:p w14:paraId="553DEB8A">
      <w:pPr>
        <w:pStyle w:val="6"/>
        <w:keepNext w:val="0"/>
        <w:keepLines w:val="0"/>
        <w:pageBreakBefore w:val="0"/>
        <w:widowControl/>
        <w:kinsoku/>
        <w:wordWrap/>
        <w:overflowPunct/>
        <w:topLinePunct w:val="0"/>
        <w:autoSpaceDE/>
        <w:autoSpaceDN/>
        <w:bidi w:val="0"/>
        <w:adjustRightInd/>
        <w:snapToGrid/>
        <w:spacing w:before="0" w:after="0" w:line="360" w:lineRule="auto"/>
        <w:ind w:firstLine="560" w:firstLineChars="200"/>
        <w:textAlignment w:val="auto"/>
        <w:outlineLvl w:val="9"/>
        <w:rPr>
          <w:rFonts w:hint="default" w:ascii="Times New Roman" w:hAnsi="Times New Roman" w:eastAsia="仿宋" w:cs="Times New Roman"/>
          <w:color w:val="auto"/>
          <w:kern w:val="2"/>
          <w:sz w:val="28"/>
          <w:szCs w:val="28"/>
          <w:lang w:val="en-US" w:eastAsia="zh-CN" w:bidi="ar-SA"/>
        </w:rPr>
      </w:pPr>
      <w:r>
        <w:rPr>
          <w:rFonts w:hint="default" w:ascii="Times New Roman" w:hAnsi="Times New Roman" w:eastAsia="仿宋" w:cs="Times New Roman"/>
          <w:color w:val="auto"/>
          <w:kern w:val="2"/>
          <w:sz w:val="28"/>
          <w:szCs w:val="28"/>
          <w:lang w:val="en-US" w:eastAsia="zh-CN" w:bidi="ar-SA"/>
        </w:rPr>
        <w:t>此项目债券资金总需求94000万元，根据地方政府债务限额管理要求和项目实施进展情况，2025年已发行</w:t>
      </w:r>
      <w:r>
        <w:rPr>
          <w:rFonts w:hint="eastAsia" w:ascii="Times New Roman" w:hAnsi="Times New Roman" w:eastAsia="仿宋" w:cs="Times New Roman"/>
          <w:color w:val="auto"/>
          <w:kern w:val="2"/>
          <w:sz w:val="28"/>
          <w:szCs w:val="28"/>
          <w:lang w:val="en-US" w:eastAsia="zh-CN" w:bidi="ar-SA"/>
        </w:rPr>
        <w:t>45</w:t>
      </w:r>
      <w:r>
        <w:rPr>
          <w:rFonts w:hint="default" w:ascii="Times New Roman" w:hAnsi="Times New Roman" w:eastAsia="仿宋" w:cs="Times New Roman"/>
          <w:color w:val="auto"/>
          <w:kern w:val="2"/>
          <w:sz w:val="28"/>
          <w:szCs w:val="28"/>
          <w:lang w:val="en-US" w:eastAsia="zh-CN" w:bidi="ar-SA"/>
        </w:rPr>
        <w:t>00万元。本次拟继续发行</w:t>
      </w:r>
      <w:r>
        <w:rPr>
          <w:rFonts w:hint="eastAsia" w:ascii="Times New Roman" w:hAnsi="Times New Roman" w:eastAsia="仿宋" w:cs="Times New Roman"/>
          <w:color w:val="auto"/>
          <w:kern w:val="2"/>
          <w:sz w:val="28"/>
          <w:szCs w:val="28"/>
          <w:lang w:val="en-US" w:eastAsia="zh-CN" w:bidi="ar-SA"/>
        </w:rPr>
        <w:t>4</w:t>
      </w:r>
      <w:r>
        <w:rPr>
          <w:rFonts w:hint="default" w:ascii="Times New Roman" w:hAnsi="Times New Roman" w:eastAsia="仿宋" w:cs="Times New Roman"/>
          <w:color w:val="auto"/>
          <w:kern w:val="2"/>
          <w:sz w:val="28"/>
          <w:szCs w:val="28"/>
          <w:lang w:val="en-US" w:eastAsia="zh-CN" w:bidi="ar-SA"/>
        </w:rPr>
        <w:t>200万元，期限30年。该项目实施内容及收益来源未发生变动，在不超过项目债券总需求情况下，债券分批次跨年发行对项目整体融资平衡不构成实质影响</w:t>
      </w:r>
      <w:r>
        <w:rPr>
          <w:rFonts w:hint="eastAsia" w:ascii="Times New Roman" w:hAnsi="Times New Roman" w:eastAsia="仿宋" w:cs="Times New Roman"/>
          <w:color w:val="auto"/>
          <w:kern w:val="2"/>
          <w:sz w:val="28"/>
          <w:szCs w:val="28"/>
          <w:lang w:val="en-US" w:eastAsia="zh-CN" w:bidi="ar-SA"/>
        </w:rPr>
        <w:t>。</w:t>
      </w:r>
    </w:p>
    <w:p w14:paraId="3F0403A3">
      <w:pPr>
        <w:pStyle w:val="6"/>
        <w:keepNext w:val="0"/>
        <w:keepLines w:val="0"/>
        <w:pageBreakBefore w:val="0"/>
        <w:widowControl/>
        <w:kinsoku/>
        <w:wordWrap/>
        <w:overflowPunct/>
        <w:topLinePunct w:val="0"/>
        <w:autoSpaceDE/>
        <w:autoSpaceDN/>
        <w:bidi w:val="0"/>
        <w:adjustRightInd/>
        <w:snapToGrid/>
        <w:spacing w:before="0" w:after="0" w:line="360" w:lineRule="auto"/>
        <w:ind w:firstLine="560" w:firstLineChars="200"/>
        <w:textAlignment w:val="auto"/>
        <w:outlineLvl w:val="9"/>
        <w:rPr>
          <w:rFonts w:hint="default" w:ascii="Times New Roman" w:hAnsi="Times New Roman" w:eastAsia="仿宋" w:cs="Times New Roman"/>
          <w:color w:val="FF0000"/>
          <w:kern w:val="2"/>
          <w:sz w:val="28"/>
          <w:szCs w:val="28"/>
          <w:lang w:val="en-US" w:eastAsia="zh-CN" w:bidi="ar-SA"/>
        </w:rPr>
      </w:pPr>
    </w:p>
    <w:sectPr>
      <w:pgSz w:w="11906" w:h="16838"/>
      <w:pgMar w:top="1644" w:right="2098" w:bottom="1417" w:left="158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default"/>
    <w:sig w:usb0="E0002EFF" w:usb1="C000785B" w:usb2="00000009" w:usb3="00000000" w:csb0="400001FF" w:csb1="FFFF0000"/>
  </w:font>
  <w:font w:name="宋体">
    <w:panose1 w:val="02010600030101010101"/>
    <w:charset w:val="88"/>
    <w:family w:val="moder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华文楷体">
    <w:altName w:val="宋体"/>
    <w:panose1 w:val="02010600040101010101"/>
    <w:charset w:val="86"/>
    <w:family w:val="auto"/>
    <w:pitch w:val="default"/>
    <w:sig w:usb0="00000000" w:usb1="00000000" w:usb2="00000000" w:usb3="00000000" w:csb0="0004009F" w:csb1="DFD70000"/>
  </w:font>
  <w:font w:name="LF_Kai">
    <w:altName w:val="宋体"/>
    <w:panose1 w:val="00000000000000000000"/>
    <w:charset w:val="86"/>
    <w:family w:val="script"/>
    <w:pitch w:val="default"/>
    <w:sig w:usb0="00000000" w:usb1="00000000" w:usb2="00000010" w:usb3="00000000" w:csb0="00040000" w:csb1="00000000"/>
  </w:font>
  <w:font w:name="仿宋_GB2312">
    <w:panose1 w:val="02010609030101010101"/>
    <w:charset w:val="86"/>
    <w:family w:val="auto"/>
    <w:pitch w:val="default"/>
    <w:sig w:usb0="00000001" w:usb1="080E0000" w:usb2="00000000" w:usb3="00000000" w:csb0="00040000" w:csb1="00000000"/>
  </w:font>
  <w:font w:name="Univers 45 Light">
    <w:altName w:val="Courier New"/>
    <w:panose1 w:val="00000000000000000000"/>
    <w:charset w:val="00"/>
    <w:family w:val="swiss"/>
    <w:pitch w:val="default"/>
    <w:sig w:usb0="00000000" w:usb1="00000000" w:usb2="00000000" w:usb3="00000000" w:csb0="00000001" w:csb1="00000000"/>
  </w:font>
  <w:font w:name="方正小标宋简体">
    <w:panose1 w:val="02010601030101010101"/>
    <w:charset w:val="86"/>
    <w:family w:val="auto"/>
    <w:pitch w:val="default"/>
    <w:sig w:usb0="00000001" w:usb1="080E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36BC91A">
    <w:pPr>
      <w:widowControl/>
      <w:adjustRightInd w:val="0"/>
      <w:snapToGrid w:val="0"/>
      <w:spacing w:line="360" w:lineRule="auto"/>
      <w:ind w:firstLine="560" w:firstLineChars="200"/>
      <w:jc w:val="center"/>
      <w:rPr>
        <w:rFonts w:ascii="Times New Roman" w:hAnsi="Times New Roman" w:eastAsia="仿宋" w:cs="Times New Roman"/>
        <w:kern w:val="0"/>
        <w:sz w:val="28"/>
        <w:szCs w:val="24"/>
      </w:rPr>
    </w:pPr>
  </w:p>
  <w:p w14:paraId="2FC813BC">
    <w:pPr>
      <w:widowControl/>
      <w:adjustRightInd w:val="0"/>
      <w:snapToGrid w:val="0"/>
      <w:spacing w:line="360" w:lineRule="auto"/>
      <w:ind w:firstLine="560" w:firstLineChars="200"/>
      <w:rPr>
        <w:rFonts w:ascii="Times New Roman" w:hAnsi="Times New Roman" w:eastAsia="仿宋" w:cs="Times New Roman"/>
        <w:kern w:val="0"/>
        <w:sz w:val="28"/>
        <w:szCs w:val="2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189D7AB">
    <w:pPr>
      <w:pStyle w:val="14"/>
      <w:ind w:firstLine="360"/>
      <w:jc w:val="center"/>
      <w:rPr>
        <w:sz w:val="20"/>
      </w:rPr>
    </w:pPr>
    <w:r>
      <w:rPr>
        <w:sz w:val="20"/>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1F51B56">
                          <w:pPr>
                            <w:pStyle w:val="1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9bQWsyAgAAYw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SYphGxU8/vp9+&#10;Ppx+fSM4g0CNCzPE3TtExvadbRE8nAccJt5t5XX6ghGBH/IeL/KKNhKeLk0n02kOF4dv2AA/e7zu&#10;fIjvhdUkGQX1qF8nKztsQuxDh5CUzdi1VKqroTKkKejV6z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1tBazICAABjBAAADgAAAAAAAAABACAAAAAfAQAAZHJzL2Uyb0RvYy54bWxQSwUG&#10;AAAAAAYABgBZAQAAwwUAAAAA&#10;">
              <v:fill on="f" focussize="0,0"/>
              <v:stroke on="f" weight="0.5pt"/>
              <v:imagedata o:title=""/>
              <o:lock v:ext="edit" aspectratio="f"/>
              <v:textbox inset="0mm,0mm,0mm,0mm" style="mso-fit-shape-to-text:t;">
                <w:txbxContent>
                  <w:p w14:paraId="11F51B56">
                    <w:pPr>
                      <w:pStyle w:val="1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06A766">
    <w:pPr>
      <w:pBdr>
        <w:bottom w:val="none" w:color="auto" w:sz="0" w:space="1"/>
      </w:pBdr>
      <w:tabs>
        <w:tab w:val="center" w:pos="4153"/>
        <w:tab w:val="right" w:pos="8306"/>
      </w:tabs>
      <w:adjustRightInd w:val="0"/>
      <w:snapToGrid w:val="0"/>
      <w:spacing w:line="360" w:lineRule="auto"/>
      <w:ind w:firstLine="360" w:firstLineChars="200"/>
      <w:jc w:val="center"/>
      <w:rPr>
        <w:rFonts w:ascii="Times New Roman" w:hAnsi="Times New Roman" w:eastAsia="仿宋" w:cs="Times New Roman"/>
        <w:sz w:val="18"/>
        <w:szCs w:val="18"/>
        <w:lang w:val="en-US" w:eastAsia="zh-CN" w:bidi="ar-SA"/>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A37B91F">
    <w:pPr>
      <w:pStyle w:val="15"/>
      <w:pBdr>
        <w:bottom w:val="none" w:color="auto" w:sz="0" w:space="0"/>
      </w:pBdr>
      <w:tabs>
        <w:tab w:val="center" w:pos="4150"/>
        <w:tab w:val="right" w:pos="8300"/>
        <w:tab w:val="clear" w:pos="4153"/>
        <w:tab w:val="clear" w:pos="8306"/>
      </w:tabs>
      <w:spacing w:line="240" w:lineRule="auto"/>
      <w:ind w:firstLine="0" w:firstLineChars="0"/>
    </w:pPr>
  </w:p>
  <w:p w14:paraId="616A35A3">
    <w:pPr>
      <w:spacing w:line="240" w:lineRule="auto"/>
      <w:ind w:firstLine="0" w:firstLineChars="0"/>
      <w:rPr>
        <w:rFonts w:hint="eastAsia"/>
        <w:u w:val="single"/>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73DECA">
    <w:pPr>
      <w:pStyle w:val="15"/>
      <w:pBdr>
        <w:bottom w:val="none" w:color="auto" w:sz="0" w:space="1"/>
      </w:pBdr>
      <w:rPr>
        <w:rFonts w:hint="eastAsia" w:eastAsia="宋体"/>
        <w:lang w:val="en-US" w:eastAsia="zh-CN"/>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TRkN2I1ODdjNDAyZjBiZWM4OTRlOTk2MDdkNzNiNWEifQ=="/>
    <w:docVar w:name="KSO_WPS_MARK_KEY" w:val="2d3808d4-080a-46b2-a033-2dfcb43df983"/>
  </w:docVars>
  <w:rsids>
    <w:rsidRoot w:val="3FA016BB"/>
    <w:rsid w:val="00303F39"/>
    <w:rsid w:val="016478F4"/>
    <w:rsid w:val="019422A6"/>
    <w:rsid w:val="02AC5234"/>
    <w:rsid w:val="02DF1D3D"/>
    <w:rsid w:val="039F6D34"/>
    <w:rsid w:val="03AA7B5F"/>
    <w:rsid w:val="05692F8B"/>
    <w:rsid w:val="06DD649D"/>
    <w:rsid w:val="07D01B5E"/>
    <w:rsid w:val="08131736"/>
    <w:rsid w:val="089B260D"/>
    <w:rsid w:val="08B46C87"/>
    <w:rsid w:val="08BD33F4"/>
    <w:rsid w:val="093E2451"/>
    <w:rsid w:val="09420839"/>
    <w:rsid w:val="09550CC1"/>
    <w:rsid w:val="097A2DF5"/>
    <w:rsid w:val="0C7C4062"/>
    <w:rsid w:val="0CBE28CD"/>
    <w:rsid w:val="0D03664E"/>
    <w:rsid w:val="0D140625"/>
    <w:rsid w:val="0F271E22"/>
    <w:rsid w:val="0FC25AA9"/>
    <w:rsid w:val="11315910"/>
    <w:rsid w:val="11660951"/>
    <w:rsid w:val="11B52F3C"/>
    <w:rsid w:val="133129AC"/>
    <w:rsid w:val="13385F37"/>
    <w:rsid w:val="134A0B53"/>
    <w:rsid w:val="138A41C1"/>
    <w:rsid w:val="14294AD0"/>
    <w:rsid w:val="15673B02"/>
    <w:rsid w:val="1598015F"/>
    <w:rsid w:val="15B11EE6"/>
    <w:rsid w:val="16BE3AB0"/>
    <w:rsid w:val="16BE59A3"/>
    <w:rsid w:val="181D0DEF"/>
    <w:rsid w:val="1825554A"/>
    <w:rsid w:val="19524380"/>
    <w:rsid w:val="195B607F"/>
    <w:rsid w:val="1A1D0C33"/>
    <w:rsid w:val="1A22449B"/>
    <w:rsid w:val="1A89451A"/>
    <w:rsid w:val="1AAB26E2"/>
    <w:rsid w:val="1C623275"/>
    <w:rsid w:val="1DCB6589"/>
    <w:rsid w:val="1F7252E7"/>
    <w:rsid w:val="1FAA16B4"/>
    <w:rsid w:val="20427645"/>
    <w:rsid w:val="21997D01"/>
    <w:rsid w:val="21D7200F"/>
    <w:rsid w:val="221819BC"/>
    <w:rsid w:val="241A4435"/>
    <w:rsid w:val="257E1526"/>
    <w:rsid w:val="26092584"/>
    <w:rsid w:val="265170F2"/>
    <w:rsid w:val="27BB1A8B"/>
    <w:rsid w:val="28754330"/>
    <w:rsid w:val="2A4627F7"/>
    <w:rsid w:val="2B42499D"/>
    <w:rsid w:val="2C45359F"/>
    <w:rsid w:val="2C5B55EB"/>
    <w:rsid w:val="2C772424"/>
    <w:rsid w:val="2D2041E2"/>
    <w:rsid w:val="2D7F180A"/>
    <w:rsid w:val="2D9139BA"/>
    <w:rsid w:val="2FE06533"/>
    <w:rsid w:val="307750E9"/>
    <w:rsid w:val="30E402A4"/>
    <w:rsid w:val="31651C7A"/>
    <w:rsid w:val="333068EB"/>
    <w:rsid w:val="338342F2"/>
    <w:rsid w:val="345E211C"/>
    <w:rsid w:val="347C0C48"/>
    <w:rsid w:val="348A1163"/>
    <w:rsid w:val="375548D2"/>
    <w:rsid w:val="379C74AB"/>
    <w:rsid w:val="37F615C1"/>
    <w:rsid w:val="385173CD"/>
    <w:rsid w:val="39550E85"/>
    <w:rsid w:val="39AB14DF"/>
    <w:rsid w:val="3A606BEE"/>
    <w:rsid w:val="3B3F4A55"/>
    <w:rsid w:val="3D6764E5"/>
    <w:rsid w:val="3DC17E38"/>
    <w:rsid w:val="3F195363"/>
    <w:rsid w:val="3F7171A7"/>
    <w:rsid w:val="3FA016BB"/>
    <w:rsid w:val="3FBF3121"/>
    <w:rsid w:val="3FE947AA"/>
    <w:rsid w:val="40E13EB9"/>
    <w:rsid w:val="42222784"/>
    <w:rsid w:val="428065A3"/>
    <w:rsid w:val="42E85458"/>
    <w:rsid w:val="43525542"/>
    <w:rsid w:val="448F7DDB"/>
    <w:rsid w:val="459D7499"/>
    <w:rsid w:val="45F33215"/>
    <w:rsid w:val="46585B96"/>
    <w:rsid w:val="46FF7BD5"/>
    <w:rsid w:val="487E46E3"/>
    <w:rsid w:val="48997720"/>
    <w:rsid w:val="49B20AE8"/>
    <w:rsid w:val="4A225C6E"/>
    <w:rsid w:val="4AFE23CE"/>
    <w:rsid w:val="4B094738"/>
    <w:rsid w:val="4BA91FD8"/>
    <w:rsid w:val="4C383D20"/>
    <w:rsid w:val="4CD14823"/>
    <w:rsid w:val="4D9F7B9D"/>
    <w:rsid w:val="4DE90850"/>
    <w:rsid w:val="4E0538DC"/>
    <w:rsid w:val="4ECF6AD5"/>
    <w:rsid w:val="4F2961E3"/>
    <w:rsid w:val="4FC11A85"/>
    <w:rsid w:val="4FE54DD3"/>
    <w:rsid w:val="512322CB"/>
    <w:rsid w:val="515E42D3"/>
    <w:rsid w:val="52900446"/>
    <w:rsid w:val="539C566F"/>
    <w:rsid w:val="54C24411"/>
    <w:rsid w:val="56A812A9"/>
    <w:rsid w:val="56AC797B"/>
    <w:rsid w:val="5794408F"/>
    <w:rsid w:val="59070080"/>
    <w:rsid w:val="597709CF"/>
    <w:rsid w:val="59916D7C"/>
    <w:rsid w:val="59B83563"/>
    <w:rsid w:val="5B5473DC"/>
    <w:rsid w:val="5C606182"/>
    <w:rsid w:val="5D1A3973"/>
    <w:rsid w:val="5D221689"/>
    <w:rsid w:val="5DB25F7C"/>
    <w:rsid w:val="5DEF17A5"/>
    <w:rsid w:val="5F21609C"/>
    <w:rsid w:val="60161979"/>
    <w:rsid w:val="60402552"/>
    <w:rsid w:val="612B4E50"/>
    <w:rsid w:val="61B1076C"/>
    <w:rsid w:val="621951BC"/>
    <w:rsid w:val="62C67511"/>
    <w:rsid w:val="635B2E37"/>
    <w:rsid w:val="63D63372"/>
    <w:rsid w:val="641937E6"/>
    <w:rsid w:val="651C2EE6"/>
    <w:rsid w:val="655B7E2E"/>
    <w:rsid w:val="65BC1102"/>
    <w:rsid w:val="65F64108"/>
    <w:rsid w:val="667A754C"/>
    <w:rsid w:val="679A19BD"/>
    <w:rsid w:val="67FB3202"/>
    <w:rsid w:val="68496314"/>
    <w:rsid w:val="695A26B0"/>
    <w:rsid w:val="698750D7"/>
    <w:rsid w:val="6A9516EC"/>
    <w:rsid w:val="6ACA28B9"/>
    <w:rsid w:val="6AEB7832"/>
    <w:rsid w:val="6AF66C71"/>
    <w:rsid w:val="6B2E643B"/>
    <w:rsid w:val="6C2C198C"/>
    <w:rsid w:val="6CB247D7"/>
    <w:rsid w:val="6CE050B7"/>
    <w:rsid w:val="6D4F0278"/>
    <w:rsid w:val="6F20257D"/>
    <w:rsid w:val="7104581E"/>
    <w:rsid w:val="716442CB"/>
    <w:rsid w:val="718860E6"/>
    <w:rsid w:val="723637B5"/>
    <w:rsid w:val="72A65155"/>
    <w:rsid w:val="739A5FC5"/>
    <w:rsid w:val="73D019E7"/>
    <w:rsid w:val="742B3769"/>
    <w:rsid w:val="77090774"/>
    <w:rsid w:val="77AB254F"/>
    <w:rsid w:val="78BE2756"/>
    <w:rsid w:val="78C733B9"/>
    <w:rsid w:val="790F4D60"/>
    <w:rsid w:val="7A747570"/>
    <w:rsid w:val="7B000E04"/>
    <w:rsid w:val="7C855A65"/>
    <w:rsid w:val="7D6F4471"/>
    <w:rsid w:val="7EF9330B"/>
    <w:rsid w:val="7F34107C"/>
    <w:rsid w:val="7F623E3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9"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qFormat="1" w:uiPriority="39"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qFormat="1" w:unhideWhenUsed="0" w:uiPriority="99"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2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8">
    <w:name w:val="heading 3"/>
    <w:basedOn w:val="1"/>
    <w:next w:val="1"/>
    <w:autoRedefine/>
    <w:unhideWhenUsed/>
    <w:qFormat/>
    <w:uiPriority w:val="9"/>
    <w:pPr>
      <w:keepNext/>
      <w:keepLines/>
      <w:spacing w:before="260" w:after="260" w:line="416" w:lineRule="auto"/>
      <w:outlineLvl w:val="2"/>
    </w:pPr>
    <w:rPr>
      <w:b/>
      <w:bCs/>
      <w:sz w:val="32"/>
      <w:szCs w:val="32"/>
    </w:rPr>
  </w:style>
  <w:style w:type="paragraph" w:styleId="9">
    <w:name w:val="heading 4"/>
    <w:basedOn w:val="1"/>
    <w:next w:val="1"/>
    <w:autoRedefine/>
    <w:qFormat/>
    <w:uiPriority w:val="0"/>
    <w:pPr>
      <w:keepNext/>
      <w:keepLines/>
      <w:spacing w:before="280" w:after="290" w:line="372" w:lineRule="auto"/>
      <w:outlineLvl w:val="3"/>
    </w:pPr>
    <w:rPr>
      <w:rFonts w:ascii="Arial" w:hAnsi="Arial" w:eastAsia="黑体"/>
      <w:b/>
      <w:sz w:val="28"/>
    </w:rPr>
  </w:style>
  <w:style w:type="character" w:default="1" w:styleId="18">
    <w:name w:val="Default Paragraph Font"/>
    <w:autoRedefine/>
    <w:semiHidden/>
    <w:qFormat/>
    <w:uiPriority w:val="0"/>
  </w:style>
  <w:style w:type="table" w:default="1" w:styleId="17">
    <w:name w:val="Normal Table"/>
    <w:autoRedefine/>
    <w:semiHidden/>
    <w:qFormat/>
    <w:uiPriority w:val="0"/>
    <w:tblPr>
      <w:tblCellMar>
        <w:top w:w="0" w:type="dxa"/>
        <w:left w:w="108" w:type="dxa"/>
        <w:bottom w:w="0" w:type="dxa"/>
        <w:right w:w="108" w:type="dxa"/>
      </w:tblCellMar>
    </w:tblPr>
  </w:style>
  <w:style w:type="paragraph" w:styleId="2">
    <w:name w:val="Body Text First Indent 2"/>
    <w:basedOn w:val="3"/>
    <w:next w:val="5"/>
    <w:autoRedefine/>
    <w:qFormat/>
    <w:uiPriority w:val="0"/>
    <w:pPr>
      <w:ind w:firstLine="420" w:firstLineChars="200"/>
    </w:pPr>
  </w:style>
  <w:style w:type="paragraph" w:styleId="3">
    <w:name w:val="Body Text Indent"/>
    <w:basedOn w:val="1"/>
    <w:next w:val="4"/>
    <w:autoRedefine/>
    <w:unhideWhenUsed/>
    <w:qFormat/>
    <w:uiPriority w:val="99"/>
    <w:pPr>
      <w:spacing w:after="120"/>
      <w:ind w:left="420" w:leftChars="200"/>
    </w:pPr>
  </w:style>
  <w:style w:type="paragraph" w:customStyle="1" w:styleId="4">
    <w:name w:val="正文文字 6"/>
    <w:next w:val="1"/>
    <w:autoRedefine/>
    <w:qFormat/>
    <w:uiPriority w:val="0"/>
    <w:pPr>
      <w:widowControl w:val="0"/>
      <w:ind w:left="240"/>
      <w:jc w:val="both"/>
    </w:pPr>
    <w:rPr>
      <w:rFonts w:ascii="宋体" w:hAnsi="Times New Roman" w:eastAsia="宋体" w:cs="Times New Roman"/>
      <w:b/>
      <w:bCs/>
      <w:kern w:val="2"/>
      <w:sz w:val="32"/>
      <w:szCs w:val="32"/>
      <w:lang w:val="en-US" w:eastAsia="zh-CN" w:bidi="ar-SA"/>
    </w:rPr>
  </w:style>
  <w:style w:type="paragraph" w:styleId="5">
    <w:name w:val="Body Text First Indent"/>
    <w:basedOn w:val="6"/>
    <w:next w:val="6"/>
    <w:autoRedefine/>
    <w:qFormat/>
    <w:uiPriority w:val="0"/>
    <w:pPr>
      <w:autoSpaceDE/>
      <w:autoSpaceDN/>
      <w:adjustRightInd/>
      <w:spacing w:after="120"/>
      <w:ind w:firstLine="420" w:firstLineChars="100"/>
      <w:jc w:val="both"/>
    </w:pPr>
    <w:rPr>
      <w:kern w:val="2"/>
      <w:sz w:val="21"/>
    </w:rPr>
  </w:style>
  <w:style w:type="paragraph" w:styleId="6">
    <w:name w:val="Body Text"/>
    <w:basedOn w:val="1"/>
    <w:next w:val="7"/>
    <w:autoRedefine/>
    <w:qFormat/>
    <w:uiPriority w:val="0"/>
    <w:pPr>
      <w:widowControl/>
      <w:adjustRightInd w:val="0"/>
      <w:snapToGrid w:val="0"/>
      <w:spacing w:before="150" w:after="150" w:line="264" w:lineRule="auto"/>
      <w:ind w:firstLine="567"/>
    </w:pPr>
    <w:rPr>
      <w:rFonts w:ascii="华文楷体" w:hAnsi="华文楷体" w:eastAsia="LF_Kai"/>
      <w:kern w:val="0"/>
      <w:sz w:val="24"/>
      <w:szCs w:val="20"/>
      <w:lang w:val="en-GB"/>
    </w:rPr>
  </w:style>
  <w:style w:type="paragraph" w:styleId="7">
    <w:name w:val="toc 1"/>
    <w:basedOn w:val="1"/>
    <w:next w:val="1"/>
    <w:autoRedefine/>
    <w:qFormat/>
    <w:uiPriority w:val="39"/>
    <w:pPr>
      <w:adjustRightInd w:val="0"/>
      <w:snapToGrid w:val="0"/>
      <w:spacing w:before="120" w:after="120"/>
      <w:jc w:val="left"/>
    </w:pPr>
    <w:rPr>
      <w:rFonts w:ascii="Calibri" w:hAnsi="Calibri" w:eastAsia="仿宋_GB2312" w:cs="Calibri"/>
      <w:b/>
      <w:bCs/>
      <w:caps/>
      <w:sz w:val="28"/>
      <w:szCs w:val="28"/>
    </w:rPr>
  </w:style>
  <w:style w:type="paragraph" w:styleId="10">
    <w:name w:val="Normal Indent"/>
    <w:qFormat/>
    <w:uiPriority w:val="0"/>
    <w:pPr>
      <w:widowControl w:val="0"/>
      <w:spacing w:before="260" w:after="260" w:line="360" w:lineRule="auto"/>
      <w:ind w:firstLine="540" w:firstLineChars="200"/>
      <w:jc w:val="both"/>
    </w:pPr>
    <w:rPr>
      <w:rFonts w:eastAsia="仿宋" w:asciiTheme="minorAscii" w:hAnsiTheme="minorAscii" w:cstheme="minorBidi"/>
      <w:kern w:val="2"/>
      <w:sz w:val="28"/>
      <w:szCs w:val="20"/>
      <w:lang w:val="en-US" w:eastAsia="zh-CN" w:bidi="ar-SA"/>
    </w:rPr>
  </w:style>
  <w:style w:type="paragraph" w:styleId="11">
    <w:name w:val="annotation text"/>
    <w:basedOn w:val="1"/>
    <w:qFormat/>
    <w:uiPriority w:val="0"/>
    <w:pPr>
      <w:jc w:val="left"/>
    </w:pPr>
  </w:style>
  <w:style w:type="paragraph" w:styleId="12">
    <w:name w:val="Block Text"/>
    <w:basedOn w:val="1"/>
    <w:autoRedefine/>
    <w:qFormat/>
    <w:uiPriority w:val="99"/>
    <w:pPr>
      <w:spacing w:line="300" w:lineRule="exact"/>
      <w:ind w:left="-105" w:leftChars="-50" w:right="-105" w:rightChars="-50"/>
      <w:jc w:val="center"/>
    </w:pPr>
    <w:rPr>
      <w:rFonts w:ascii="宋体" w:hAnsi="宋体"/>
      <w:sz w:val="18"/>
      <w:szCs w:val="20"/>
    </w:rPr>
  </w:style>
  <w:style w:type="paragraph" w:styleId="13">
    <w:name w:val="Body Text Indent 2"/>
    <w:basedOn w:val="1"/>
    <w:qFormat/>
    <w:uiPriority w:val="0"/>
    <w:pPr>
      <w:spacing w:after="120" w:line="480" w:lineRule="auto"/>
      <w:ind w:left="420" w:leftChars="200"/>
    </w:pPr>
    <w:rPr>
      <w:sz w:val="21"/>
      <w:szCs w:val="24"/>
    </w:rPr>
  </w:style>
  <w:style w:type="paragraph" w:styleId="14">
    <w:name w:val="footer"/>
    <w:basedOn w:val="1"/>
    <w:next w:val="1"/>
    <w:autoRedefine/>
    <w:unhideWhenUsed/>
    <w:qFormat/>
    <w:uiPriority w:val="99"/>
    <w:pPr>
      <w:tabs>
        <w:tab w:val="center" w:pos="4153"/>
        <w:tab w:val="right" w:pos="8306"/>
      </w:tabs>
      <w:snapToGrid w:val="0"/>
    </w:pPr>
    <w:rPr>
      <w:sz w:val="18"/>
      <w:szCs w:val="18"/>
    </w:rPr>
  </w:style>
  <w:style w:type="paragraph" w:styleId="15">
    <w:name w:val="header"/>
    <w:basedOn w:val="1"/>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16">
    <w:name w:val="toc 4"/>
    <w:next w:val="1"/>
    <w:autoRedefine/>
    <w:unhideWhenUsed/>
    <w:qFormat/>
    <w:uiPriority w:val="39"/>
    <w:pPr>
      <w:widowControl w:val="0"/>
      <w:spacing w:before="20" w:beforeLines="20" w:after="20" w:afterLines="20" w:line="360" w:lineRule="auto"/>
      <w:ind w:left="720" w:firstLine="200" w:firstLineChars="200"/>
      <w:jc w:val="left"/>
    </w:pPr>
    <w:rPr>
      <w:rFonts w:ascii="Calibri" w:hAnsi="Calibri" w:eastAsia="宋体" w:cs="Times New Roman"/>
      <w:kern w:val="2"/>
      <w:sz w:val="20"/>
      <w:szCs w:val="20"/>
      <w:lang w:val="en-US" w:eastAsia="zh-CN" w:bidi="ar-SA"/>
    </w:rPr>
  </w:style>
  <w:style w:type="character" w:styleId="19">
    <w:name w:val="Emphasis"/>
    <w:basedOn w:val="18"/>
    <w:autoRedefine/>
    <w:qFormat/>
    <w:uiPriority w:val="20"/>
    <w:rPr>
      <w:i/>
    </w:rPr>
  </w:style>
  <w:style w:type="paragraph" w:customStyle="1" w:styleId="20">
    <w:name w:val="引言二级条标题"/>
    <w:basedOn w:val="21"/>
    <w:next w:val="22"/>
    <w:autoRedefine/>
    <w:qFormat/>
    <w:uiPriority w:val="0"/>
    <w:pPr>
      <w:tabs>
        <w:tab w:val="left" w:pos="360"/>
      </w:tabs>
      <w:ind w:left="2258"/>
    </w:pPr>
    <w:rPr>
      <w:rFonts w:ascii="Calibri" w:hAnsi="Calibri"/>
      <w:szCs w:val="21"/>
    </w:rPr>
  </w:style>
  <w:style w:type="paragraph" w:customStyle="1" w:styleId="21">
    <w:name w:val="引言一级条标题"/>
    <w:basedOn w:val="1"/>
    <w:next w:val="22"/>
    <w:autoRedefine/>
    <w:qFormat/>
    <w:uiPriority w:val="0"/>
    <w:pPr>
      <w:widowControl/>
      <w:ind w:left="987" w:hanging="420"/>
    </w:pPr>
    <w:rPr>
      <w:rFonts w:eastAsia="黑体"/>
      <w:b/>
    </w:rPr>
  </w:style>
  <w:style w:type="paragraph" w:customStyle="1" w:styleId="22">
    <w:name w:val="段"/>
    <w:autoRedefine/>
    <w:qFormat/>
    <w:uiPriority w:val="0"/>
    <w:pPr>
      <w:tabs>
        <w:tab w:val="left" w:pos="3445"/>
      </w:tabs>
      <w:autoSpaceDE w:val="0"/>
      <w:autoSpaceDN w:val="0"/>
      <w:ind w:left="3445" w:firstLine="200" w:firstLineChars="200"/>
      <w:jc w:val="both"/>
    </w:pPr>
    <w:rPr>
      <w:rFonts w:ascii="宋体" w:hAnsi="Times New Roman" w:eastAsia="宋体" w:cs="Times New Roman"/>
      <w:sz w:val="21"/>
      <w:lang w:val="en-US" w:eastAsia="zh-CN" w:bidi="ar-SA"/>
    </w:rPr>
  </w:style>
  <w:style w:type="paragraph" w:customStyle="1" w:styleId="23">
    <w:name w:val="Default"/>
    <w:autoRedefine/>
    <w:qFormat/>
    <w:uiPriority w:val="0"/>
    <w:pPr>
      <w:widowControl w:val="0"/>
      <w:autoSpaceDE w:val="0"/>
      <w:autoSpaceDN w:val="0"/>
      <w:adjustRightInd w:val="0"/>
    </w:pPr>
    <w:rPr>
      <w:rFonts w:ascii="Univers 45 Light" w:hAnsi="Times New Roman" w:eastAsia="Univers 45 Light" w:cs="Univers 45 Light"/>
      <w:color w:val="000000"/>
      <w:sz w:val="24"/>
      <w:szCs w:val="24"/>
      <w:lang w:val="en-US" w:eastAsia="zh-CN" w:bidi="ar-SA"/>
    </w:rPr>
  </w:style>
  <w:style w:type="paragraph" w:customStyle="1" w:styleId="24">
    <w:name w:val="表格2"/>
    <w:basedOn w:val="12"/>
    <w:autoRedefine/>
    <w:qFormat/>
    <w:uiPriority w:val="0"/>
    <w:pPr>
      <w:spacing w:line="240" w:lineRule="exact"/>
      <w:ind w:left="0" w:leftChars="0" w:right="0" w:rightChars="0" w:firstLine="0" w:firstLineChars="0"/>
    </w:pPr>
    <w:rPr>
      <w:rFonts w:ascii="Times New Roman" w:hAnsi="Times New Roman" w:cs="Times New Roman"/>
      <w:sz w:val="22"/>
      <w:szCs w:val="20"/>
    </w:rPr>
  </w:style>
  <w:style w:type="paragraph" w:customStyle="1" w:styleId="25">
    <w:name w:val="样式8"/>
    <w:basedOn w:val="1"/>
    <w:link w:val="29"/>
    <w:autoRedefine/>
    <w:qFormat/>
    <w:uiPriority w:val="0"/>
    <w:pPr>
      <w:spacing w:line="360" w:lineRule="auto"/>
      <w:ind w:firstLine="720" w:firstLineChars="200"/>
      <w:jc w:val="both"/>
    </w:pPr>
    <w:rPr>
      <w:rFonts w:ascii="Times New Roman" w:hAnsi="Times New Roman" w:eastAsia="仿宋"/>
      <w:sz w:val="28"/>
      <w:szCs w:val="24"/>
    </w:rPr>
  </w:style>
  <w:style w:type="paragraph" w:customStyle="1" w:styleId="26">
    <w:name w:val="表格222"/>
    <w:basedOn w:val="7"/>
    <w:autoRedefine/>
    <w:qFormat/>
    <w:uiPriority w:val="0"/>
    <w:pPr>
      <w:spacing w:line="240" w:lineRule="exact"/>
      <w:jc w:val="center"/>
    </w:pPr>
    <w:rPr>
      <w:rFonts w:ascii="Times New Roman" w:hAnsi="Times New Roman" w:eastAsia="仿宋" w:cs="Calibri"/>
      <w:sz w:val="22"/>
    </w:rPr>
  </w:style>
  <w:style w:type="character" w:customStyle="1" w:styleId="27">
    <w:name w:val="font21"/>
    <w:basedOn w:val="18"/>
    <w:autoRedefine/>
    <w:qFormat/>
    <w:uiPriority w:val="0"/>
    <w:rPr>
      <w:rFonts w:hint="default" w:ascii="Times New Roman" w:hAnsi="Times New Roman" w:cs="Times New Roman"/>
      <w:color w:val="000000"/>
      <w:sz w:val="28"/>
      <w:szCs w:val="28"/>
      <w:u w:val="none"/>
    </w:rPr>
  </w:style>
  <w:style w:type="character" w:customStyle="1" w:styleId="28">
    <w:name w:val="font31"/>
    <w:basedOn w:val="18"/>
    <w:autoRedefine/>
    <w:qFormat/>
    <w:uiPriority w:val="0"/>
    <w:rPr>
      <w:rFonts w:hint="eastAsia" w:ascii="宋体" w:hAnsi="宋体" w:eastAsia="宋体" w:cs="宋体"/>
      <w:color w:val="000000"/>
      <w:sz w:val="20"/>
      <w:szCs w:val="20"/>
      <w:u w:val="none"/>
    </w:rPr>
  </w:style>
  <w:style w:type="character" w:customStyle="1" w:styleId="29">
    <w:name w:val="样式8 Char1"/>
    <w:link w:val="25"/>
    <w:autoRedefine/>
    <w:qFormat/>
    <w:uiPriority w:val="0"/>
    <w:rPr>
      <w:rFonts w:ascii="Times New Roman" w:hAnsi="Times New Roman" w:eastAsia="仿宋"/>
      <w:sz w:val="28"/>
      <w:szCs w:val="24"/>
    </w:rPr>
  </w:style>
</w:styles>
</file>

<file path=word/_rels/document.xml.rels><?xml version="1.0" encoding="UTF-8" standalone="yes"?>
<Relationships xmlns="http://schemas.openxmlformats.org/package/2006/relationships"><Relationship Id="rId9" Type="http://schemas.openxmlformats.org/officeDocument/2006/relationships/oleObject" Target="embeddings/oleObject1.bin"/><Relationship Id="rId8" Type="http://schemas.openxmlformats.org/officeDocument/2006/relationships/theme" Target="theme/theme1.xml"/><Relationship Id="rId7" Type="http://schemas.openxmlformats.org/officeDocument/2006/relationships/header" Target="head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1.xml"/><Relationship Id="rId14" Type="http://schemas.openxmlformats.org/officeDocument/2006/relationships/image" Target="media/image3.emf"/><Relationship Id="rId13" Type="http://schemas.openxmlformats.org/officeDocument/2006/relationships/oleObject" Target="embeddings/oleObject3.bin"/><Relationship Id="rId12" Type="http://schemas.openxmlformats.org/officeDocument/2006/relationships/image" Target="media/image2.emf"/><Relationship Id="rId11" Type="http://schemas.openxmlformats.org/officeDocument/2006/relationships/oleObject" Target="embeddings/oleObject2.bin"/><Relationship Id="rId10" Type="http://schemas.openxmlformats.org/officeDocument/2006/relationships/image" Target="media/image1.e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24</Pages>
  <Words>9045</Words>
  <Characters>9575</Characters>
  <Lines>0</Lines>
  <Paragraphs>0</Paragraphs>
  <TotalTime>27</TotalTime>
  <ScaleCrop>false</ScaleCrop>
  <LinksUpToDate>false</LinksUpToDate>
  <CharactersWithSpaces>9576</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2019-12-07T12:57:00Z</dcterms:created>
  <dc:creator>李仕林</dc:creator>
  <cp:lastModifiedBy>Flora</cp:lastModifiedBy>
  <dcterms:modified xsi:type="dcterms:W3CDTF">2025-11-26T09:51:37Z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4A9BDAB1BEB7416A822C07943B93A118</vt:lpwstr>
  </property>
  <property fmtid="{D5CDD505-2E9C-101B-9397-08002B2CF9AE}" pid="4" name="KSOTemplateDocerSaveRecord">
    <vt:lpwstr>eyJoZGlkIjoiYTRkN2I1ODdjNDAyZjBiZWM4OTRlOTk2MDdkNzNiNWEiLCJ1c2VySWQiOiI3NDI2MDM3MjIifQ==</vt:lpwstr>
  </property>
</Properties>
</file>